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0" w:type="auto"/>
        <w:tblLook w:val="04A0" w:firstRow="1" w:lastRow="0" w:firstColumn="1" w:lastColumn="0" w:noHBand="0" w:noVBand="1"/>
      </w:tblPr>
      <w:tblGrid>
        <w:gridCol w:w="15390"/>
      </w:tblGrid>
      <w:tr w:rsidR="00E50674" w:rsidRPr="003D12F4" w:rsidTr="00F92AE4">
        <w:trPr>
          <w:cantSplit/>
        </w:trPr>
        <w:tc>
          <w:tcPr>
            <w:tcW w:w="0" w:type="auto"/>
          </w:tcPr>
          <w:p w:rsidR="00E50674" w:rsidRPr="003D12F4" w:rsidRDefault="001D0AFD" w:rsidP="003D12F4">
            <w:pPr>
              <w:spacing w:before="60"/>
              <w:rPr>
                <w:rFonts w:asciiTheme="minorHAnsi" w:hAnsiTheme="minorHAnsi" w:cstheme="minorHAnsi"/>
                <w:sz w:val="21"/>
                <w:szCs w:val="21"/>
              </w:rPr>
            </w:pPr>
            <w:bookmarkStart w:id="0" w:name="_GoBack"/>
            <w:bookmarkEnd w:id="0"/>
            <w:r w:rsidRPr="003D12F4">
              <w:rPr>
                <w:rFonts w:asciiTheme="minorHAnsi" w:hAnsiTheme="minorHAnsi" w:cstheme="minorHAnsi"/>
                <w:b/>
                <w:color w:val="1E6DB3"/>
                <w:sz w:val="21"/>
                <w:szCs w:val="21"/>
              </w:rPr>
              <w:t>Number, addition and subtraction</w:t>
            </w:r>
          </w:p>
        </w:tc>
      </w:tr>
      <w:tr w:rsidR="00E50674" w:rsidRPr="003D12F4" w:rsidTr="00F92AE4">
        <w:trPr>
          <w:cantSplit/>
        </w:trPr>
        <w:tc>
          <w:tcPr>
            <w:tcW w:w="0" w:type="auto"/>
          </w:tcPr>
          <w:p w:rsidR="00316DC2" w:rsidRPr="003D12F4" w:rsidRDefault="00E50674"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color w:val="333333"/>
                <w:sz w:val="21"/>
                <w:szCs w:val="21"/>
              </w:rPr>
              <w:t>1.1</w:t>
            </w:r>
            <w:r w:rsidR="00B13AC3" w:rsidRPr="003D12F4">
              <w:rPr>
                <w:rFonts w:asciiTheme="minorHAnsi" w:hAnsiTheme="minorHAnsi" w:cstheme="minorHAnsi"/>
                <w:color w:val="333333"/>
                <w:sz w:val="21"/>
                <w:szCs w:val="21"/>
              </w:rPr>
              <w:t>7</w:t>
            </w:r>
            <w:r w:rsidRPr="003D12F4">
              <w:rPr>
                <w:rFonts w:asciiTheme="minorHAnsi" w:hAnsiTheme="minorHAnsi" w:cstheme="minorHAnsi"/>
                <w:color w:val="333333"/>
                <w:sz w:val="21"/>
                <w:szCs w:val="21"/>
              </w:rPr>
              <w:t xml:space="preserve"> </w:t>
            </w:r>
            <w:r w:rsidR="00B13AC3" w:rsidRPr="00CA0B4F">
              <w:rPr>
                <w:rFonts w:asciiTheme="minorHAnsi" w:hAnsiTheme="minorHAnsi" w:cstheme="minorHAnsi"/>
                <w:color w:val="333333"/>
                <w:sz w:val="21"/>
                <w:szCs w:val="21"/>
                <w:highlight w:val="yellow"/>
              </w:rPr>
              <w:t>Composition and calculation: 100 and bridging 100</w:t>
            </w:r>
            <w:r w:rsidR="0085309A" w:rsidRPr="00CA0B4F">
              <w:rPr>
                <w:rFonts w:asciiTheme="minorHAnsi" w:hAnsiTheme="minorHAnsi" w:cstheme="minorHAnsi"/>
                <w:color w:val="333333"/>
                <w:sz w:val="21"/>
                <w:szCs w:val="21"/>
                <w:highlight w:val="yellow"/>
              </w:rPr>
              <w:t xml:space="preserve"> </w:t>
            </w:r>
            <w:r w:rsidR="00316DC2" w:rsidRPr="00CA0B4F">
              <w:rPr>
                <w:rFonts w:asciiTheme="minorHAnsi" w:hAnsiTheme="minorHAnsi" w:cstheme="minorHAnsi"/>
                <w:color w:val="333333"/>
                <w:sz w:val="21"/>
                <w:szCs w:val="21"/>
                <w:highlight w:val="yellow"/>
              </w:rPr>
              <w:t>Explore the additive and multiplicative composition of 100; draw on known strategies and number facts to calculate across the 100 boundary.</w:t>
            </w:r>
          </w:p>
          <w:p w:rsidR="00316DC2" w:rsidRPr="003D12F4" w:rsidRDefault="00316DC2" w:rsidP="003D12F4">
            <w:pPr>
              <w:numPr>
                <w:ilvl w:val="0"/>
                <w:numId w:val="1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There are ten tens in 100; there are 100 ones in 100. 100 can also be composed multiplicatively from 50, 25 or 20, units that are commonly used in graphing and measures.</w:t>
            </w:r>
          </w:p>
          <w:p w:rsidR="00316DC2" w:rsidRPr="003D12F4" w:rsidRDefault="00316DC2" w:rsidP="003D12F4">
            <w:pPr>
              <w:numPr>
                <w:ilvl w:val="0"/>
                <w:numId w:val="1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Known addition facts can be used to calculate complements to 100.</w:t>
            </w:r>
          </w:p>
          <w:p w:rsidR="00316DC2" w:rsidRPr="003D12F4" w:rsidRDefault="00316DC2" w:rsidP="003D12F4">
            <w:pPr>
              <w:numPr>
                <w:ilvl w:val="0"/>
                <w:numId w:val="1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Known strategies for addition and subtraction across the tens boundary can be combined with unitising to count and calculate across the hundreds boundary in multiples of ten.</w:t>
            </w:r>
          </w:p>
          <w:p w:rsidR="00E50674" w:rsidRPr="003D12F4" w:rsidRDefault="00316DC2" w:rsidP="003D12F4">
            <w:pPr>
              <w:numPr>
                <w:ilvl w:val="0"/>
                <w:numId w:val="1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Knowledge of two-digit numbers can be extended to count and calculate across the hundreds boundary from/to any two-digit number in ones or tens.</w:t>
            </w:r>
          </w:p>
        </w:tc>
      </w:tr>
      <w:tr w:rsidR="00E50674" w:rsidRPr="003D12F4" w:rsidTr="00F92AE4">
        <w:trPr>
          <w:cantSplit/>
        </w:trPr>
        <w:tc>
          <w:tcPr>
            <w:tcW w:w="0" w:type="auto"/>
          </w:tcPr>
          <w:p w:rsidR="00316DC2" w:rsidRPr="003D12F4" w:rsidRDefault="00E50674" w:rsidP="003D12F4">
            <w:pPr>
              <w:pStyle w:val="NormalWeb"/>
              <w:spacing w:before="60" w:beforeAutospacing="0" w:after="0" w:afterAutospacing="0"/>
              <w:rPr>
                <w:rFonts w:asciiTheme="minorHAnsi" w:hAnsiTheme="minorHAnsi" w:cstheme="minorHAnsi"/>
                <w:color w:val="333333"/>
                <w:sz w:val="21"/>
                <w:szCs w:val="21"/>
              </w:rPr>
            </w:pPr>
            <w:r w:rsidRPr="003D12F4">
              <w:rPr>
                <w:rStyle w:val="Strong"/>
                <w:rFonts w:asciiTheme="minorHAnsi" w:hAnsiTheme="minorHAnsi" w:cstheme="minorHAnsi"/>
                <w:bCs w:val="0"/>
                <w:color w:val="333333"/>
                <w:sz w:val="21"/>
                <w:szCs w:val="21"/>
              </w:rPr>
              <w:t>1.</w:t>
            </w:r>
            <w:r w:rsidR="00B13AC3" w:rsidRPr="003D12F4">
              <w:rPr>
                <w:rStyle w:val="Strong"/>
                <w:rFonts w:asciiTheme="minorHAnsi" w:hAnsiTheme="minorHAnsi" w:cstheme="minorHAnsi"/>
                <w:bCs w:val="0"/>
                <w:color w:val="333333"/>
                <w:sz w:val="21"/>
                <w:szCs w:val="21"/>
              </w:rPr>
              <w:t>18</w:t>
            </w:r>
            <w:r w:rsidRPr="003D12F4">
              <w:rPr>
                <w:rStyle w:val="Strong"/>
                <w:rFonts w:asciiTheme="minorHAnsi" w:hAnsiTheme="minorHAnsi" w:cstheme="minorHAnsi"/>
                <w:bCs w:val="0"/>
                <w:color w:val="333333"/>
                <w:sz w:val="21"/>
                <w:szCs w:val="21"/>
              </w:rPr>
              <w:t xml:space="preserve"> </w:t>
            </w:r>
            <w:r w:rsidR="00B13AC3" w:rsidRPr="00CA0B4F">
              <w:rPr>
                <w:rStyle w:val="Strong"/>
                <w:rFonts w:asciiTheme="minorHAnsi" w:hAnsiTheme="minorHAnsi" w:cstheme="minorHAnsi"/>
                <w:bCs w:val="0"/>
                <w:color w:val="333333"/>
                <w:sz w:val="21"/>
                <w:szCs w:val="21"/>
                <w:highlight w:val="yellow"/>
              </w:rPr>
              <w:t>Composition and calculation: three-digit numbers</w:t>
            </w:r>
            <w:r w:rsidR="00316DC2" w:rsidRPr="003D12F4">
              <w:rPr>
                <w:rStyle w:val="Strong"/>
                <w:rFonts w:asciiTheme="minorHAnsi" w:hAnsiTheme="minorHAnsi" w:cstheme="minorHAnsi"/>
                <w:bCs w:val="0"/>
                <w:color w:val="333333"/>
                <w:sz w:val="21"/>
                <w:szCs w:val="21"/>
              </w:rPr>
              <w:t xml:space="preserve"> </w:t>
            </w:r>
            <w:r w:rsidR="00316DC2" w:rsidRPr="003D12F4">
              <w:rPr>
                <w:rFonts w:asciiTheme="minorHAnsi" w:hAnsiTheme="minorHAnsi" w:cstheme="minorHAnsi"/>
                <w:color w:val="333333"/>
                <w:sz w:val="21"/>
                <w:szCs w:val="21"/>
              </w:rPr>
              <w:t>Explore the composition of three-digit numbers; use place-value and partitioning knowledge to support additive calculation, and extend known additive strategies to three-digit numbers.</w:t>
            </w:r>
          </w:p>
          <w:p w:rsidR="00316DC2"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Three-digit numbers can be composed additively from hundreds, tens and ones; this structure can be used to support additive calculation.</w:t>
            </w:r>
          </w:p>
          <w:p w:rsidR="00316DC2"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Each number on the 0 to 1,000 number line has a unique position.</w:t>
            </w:r>
          </w:p>
          <w:p w:rsidR="00316DC2"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The smallest three-digit number is 100, and the largest three-digit number is 999; the relative size of two three-digit numbers can be determined by examining the hundreds digits, then the tens digits, and then the ones digits, as necessary.</w:t>
            </w:r>
          </w:p>
          <w:p w:rsidR="00316DC2"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Three-digit multiples of ten can be expressed multiplicatively and additively, in terms of tens or hundreds.</w:t>
            </w:r>
          </w:p>
          <w:p w:rsidR="00316DC2"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Known facts and strategies for addition and subtraction within and across ten, and within and across 100, can be used to support additive calculation within 1,000.</w:t>
            </w:r>
          </w:p>
          <w:p w:rsidR="00E50674" w:rsidRPr="003D12F4" w:rsidRDefault="00316DC2" w:rsidP="003D12F4">
            <w:pPr>
              <w:numPr>
                <w:ilvl w:val="0"/>
                <w:numId w:val="1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6</w:t>
            </w:r>
            <w:r w:rsidRPr="003D12F4">
              <w:rPr>
                <w:rFonts w:asciiTheme="minorHAnsi" w:hAnsiTheme="minorHAnsi" w:cstheme="minorHAnsi"/>
                <w:color w:val="333333"/>
                <w:sz w:val="21"/>
                <w:szCs w:val="21"/>
              </w:rPr>
              <w:t>: Familiar counting sequences can be extended up to 1,000.</w:t>
            </w:r>
          </w:p>
        </w:tc>
      </w:tr>
      <w:tr w:rsidR="00E50674" w:rsidRPr="003D12F4" w:rsidTr="00F92AE4">
        <w:trPr>
          <w:cantSplit/>
        </w:trPr>
        <w:tc>
          <w:tcPr>
            <w:tcW w:w="0" w:type="auto"/>
          </w:tcPr>
          <w:p w:rsidR="00316DC2" w:rsidRPr="003D12F4" w:rsidRDefault="00E50674" w:rsidP="003D12F4">
            <w:pPr>
              <w:pStyle w:val="NormalWeb"/>
              <w:spacing w:before="60" w:beforeAutospacing="0" w:after="0" w:afterAutospacing="0"/>
              <w:rPr>
                <w:rFonts w:asciiTheme="minorHAnsi" w:hAnsiTheme="minorHAnsi" w:cstheme="minorHAnsi"/>
                <w:color w:val="333333"/>
                <w:sz w:val="21"/>
                <w:szCs w:val="21"/>
              </w:rPr>
            </w:pPr>
            <w:r w:rsidRPr="003D12F4">
              <w:rPr>
                <w:rStyle w:val="Strong"/>
                <w:rFonts w:asciiTheme="minorHAnsi" w:hAnsiTheme="minorHAnsi" w:cstheme="minorHAnsi"/>
                <w:sz w:val="21"/>
                <w:szCs w:val="21"/>
              </w:rPr>
              <w:t>1.</w:t>
            </w:r>
            <w:r w:rsidR="00B13AC3" w:rsidRPr="003D12F4">
              <w:rPr>
                <w:rStyle w:val="Strong"/>
                <w:rFonts w:asciiTheme="minorHAnsi" w:hAnsiTheme="minorHAnsi" w:cstheme="minorHAnsi"/>
                <w:sz w:val="21"/>
                <w:szCs w:val="21"/>
              </w:rPr>
              <w:t xml:space="preserve">19 </w:t>
            </w:r>
            <w:r w:rsidR="00B13AC3" w:rsidRPr="00CA0B4F">
              <w:rPr>
                <w:rStyle w:val="Strong"/>
                <w:rFonts w:asciiTheme="minorHAnsi" w:hAnsiTheme="minorHAnsi" w:cstheme="minorHAnsi"/>
                <w:sz w:val="21"/>
                <w:szCs w:val="21"/>
                <w:highlight w:val="yellow"/>
              </w:rPr>
              <w:t>Securing mental strategies: calculation up to 999</w:t>
            </w:r>
            <w:r w:rsidR="00316DC2" w:rsidRPr="003D12F4">
              <w:rPr>
                <w:rStyle w:val="Strong"/>
                <w:rFonts w:asciiTheme="minorHAnsi" w:hAnsiTheme="minorHAnsi" w:cstheme="minorHAnsi"/>
                <w:sz w:val="21"/>
                <w:szCs w:val="21"/>
              </w:rPr>
              <w:t xml:space="preserve"> </w:t>
            </w:r>
            <w:r w:rsidR="00316DC2" w:rsidRPr="003D12F4">
              <w:rPr>
                <w:rFonts w:asciiTheme="minorHAnsi" w:hAnsiTheme="minorHAnsi" w:cstheme="minorHAnsi"/>
                <w:color w:val="333333"/>
                <w:sz w:val="21"/>
                <w:szCs w:val="21"/>
              </w:rPr>
              <w:t>Build on segments 1.15 and 1.16 to equip children with useful calculation strategies for bridging hundreds boundaries, and three-digit numbers; continue to use the partitioning structure to facilitate calculation.</w:t>
            </w:r>
          </w:p>
          <w:p w:rsidR="00316DC2" w:rsidRPr="003D12F4" w:rsidRDefault="00316DC2" w:rsidP="003D12F4">
            <w:pPr>
              <w:numPr>
                <w:ilvl w:val="0"/>
                <w:numId w:val="1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Known partitioning strategies for adding two-digit numbers within 100 can be extended to the mental addition of two-digit numbers that bridge 100, and addition of three-digit numbers.</w:t>
            </w:r>
          </w:p>
          <w:p w:rsidR="00316DC2" w:rsidRPr="003D12F4" w:rsidRDefault="00316DC2" w:rsidP="003D12F4">
            <w:pPr>
              <w:numPr>
                <w:ilvl w:val="0"/>
                <w:numId w:val="1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Transforming addition calculations into equivalent calculations can support efficient mental strategies.</w:t>
            </w:r>
          </w:p>
          <w:p w:rsidR="00316DC2" w:rsidRPr="003D12F4" w:rsidRDefault="00316DC2" w:rsidP="003D12F4">
            <w:pPr>
              <w:numPr>
                <w:ilvl w:val="0"/>
                <w:numId w:val="1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Subtraction calculations can be solved using a ‘finding the difference’ strategy; this can be thought of as ‘adding on’ to find a missing part.</w:t>
            </w:r>
          </w:p>
          <w:p w:rsidR="00E50674" w:rsidRPr="003D12F4" w:rsidRDefault="00316DC2" w:rsidP="003D12F4">
            <w:pPr>
              <w:numPr>
                <w:ilvl w:val="0"/>
                <w:numId w:val="1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The order of addition and subtraction steps in a multi-step calculation can be chosen or manipulated such as to simplify the arithmetic.</w:t>
            </w:r>
          </w:p>
        </w:tc>
      </w:tr>
      <w:tr w:rsidR="00EE612D" w:rsidRPr="003D12F4" w:rsidTr="005E489D">
        <w:trPr>
          <w:cantSplit/>
        </w:trPr>
        <w:tc>
          <w:tcPr>
            <w:tcW w:w="0" w:type="auto"/>
          </w:tcPr>
          <w:p w:rsidR="00816B55" w:rsidRPr="003D12F4" w:rsidRDefault="00EE612D" w:rsidP="003D12F4">
            <w:pPr>
              <w:spacing w:before="60"/>
              <w:rPr>
                <w:rFonts w:asciiTheme="minorHAnsi" w:hAnsiTheme="minorHAnsi" w:cstheme="minorHAnsi"/>
                <w:bCs/>
                <w:i/>
                <w:color w:val="333333"/>
                <w:sz w:val="21"/>
                <w:szCs w:val="21"/>
              </w:rPr>
            </w:pPr>
            <w:r w:rsidRPr="003D12F4">
              <w:rPr>
                <w:rFonts w:asciiTheme="minorHAnsi" w:hAnsiTheme="minorHAnsi" w:cstheme="minorHAnsi"/>
                <w:b/>
                <w:color w:val="1E6DB3"/>
                <w:sz w:val="21"/>
                <w:szCs w:val="21"/>
              </w:rPr>
              <w:t>Multiplication &amp; Division</w:t>
            </w:r>
            <w:r w:rsidRPr="003D12F4">
              <w:rPr>
                <w:rFonts w:asciiTheme="minorHAnsi" w:hAnsiTheme="minorHAnsi" w:cstheme="minorHAnsi"/>
                <w:bCs/>
                <w:i/>
                <w:color w:val="333333"/>
                <w:sz w:val="21"/>
                <w:szCs w:val="21"/>
              </w:rPr>
              <w:t xml:space="preserve"> </w:t>
            </w:r>
            <w:r w:rsidR="00816B55" w:rsidRPr="003D12F4">
              <w:rPr>
                <w:rFonts w:asciiTheme="minorHAnsi" w:hAnsiTheme="minorHAnsi" w:cstheme="minorHAnsi"/>
                <w:bCs/>
                <w:i/>
                <w:color w:val="333333"/>
                <w:sz w:val="21"/>
                <w:szCs w:val="21"/>
              </w:rPr>
              <w:t xml:space="preserve">The conceptual foundations for multiplication and division are introduced in Year 2, to and you may wish to review the key concepts of unitising, repeated addition, and equal grouping in segments 2.2-2.6 before starting the Year 3 Spine 2 segment.  </w:t>
            </w:r>
          </w:p>
          <w:p w:rsidR="00EE612D" w:rsidRDefault="00816B55" w:rsidP="003D12F4">
            <w:pPr>
              <w:spacing w:before="60"/>
              <w:rPr>
                <w:rFonts w:asciiTheme="minorHAnsi" w:hAnsiTheme="minorHAnsi" w:cstheme="minorHAnsi"/>
                <w:bCs/>
                <w:i/>
                <w:color w:val="333333"/>
                <w:sz w:val="21"/>
                <w:szCs w:val="21"/>
              </w:rPr>
            </w:pPr>
            <w:r w:rsidRPr="003D12F4">
              <w:rPr>
                <w:rFonts w:asciiTheme="minorHAnsi" w:hAnsiTheme="minorHAnsi" w:cstheme="minorHAnsi"/>
                <w:bCs/>
                <w:i/>
                <w:color w:val="333333"/>
                <w:sz w:val="21"/>
                <w:szCs w:val="21"/>
              </w:rPr>
              <w:t>Segment 2.7-2.9 focus on developing conceptual understanding of the times tables. Is also crucial, and regular practice should be undertaken outside the main maths lesson to achieve this. Spine two segments have been distributed throughout the year, to allow children to achieve fluency in each set of times table facts before moving on, and to prepare for the next set of times tables by practising skip counting in the relevant multiples. Note that, for each set up, corresponding division facts and calculations are embedded within each segment.</w:t>
            </w:r>
          </w:p>
          <w:p w:rsidR="003D12F4" w:rsidRPr="003D12F4" w:rsidRDefault="003D12F4" w:rsidP="003D12F4">
            <w:pPr>
              <w:spacing w:before="60"/>
              <w:rPr>
                <w:rFonts w:asciiTheme="minorHAnsi" w:hAnsiTheme="minorHAnsi" w:cstheme="minorHAnsi"/>
                <w:bCs/>
                <w:color w:val="333333"/>
                <w:sz w:val="21"/>
                <w:szCs w:val="21"/>
              </w:rPr>
            </w:pP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Style w:val="Strong"/>
                <w:rFonts w:asciiTheme="minorHAnsi" w:hAnsiTheme="minorHAnsi" w:cstheme="minorHAnsi"/>
                <w:sz w:val="21"/>
                <w:szCs w:val="21"/>
              </w:rPr>
              <w:lastRenderedPageBreak/>
              <w:t xml:space="preserve">2.7 </w:t>
            </w:r>
            <w:r w:rsidRPr="00CA0B4F">
              <w:rPr>
                <w:rStyle w:val="Strong"/>
                <w:rFonts w:asciiTheme="minorHAnsi" w:hAnsiTheme="minorHAnsi" w:cstheme="minorHAnsi"/>
                <w:sz w:val="21"/>
                <w:szCs w:val="21"/>
                <w:highlight w:val="yellow"/>
              </w:rPr>
              <w:t>Times tables: 2, 4 and 8, and the relationship between them</w:t>
            </w:r>
            <w:r w:rsidR="00316DC2" w:rsidRPr="003D12F4">
              <w:rPr>
                <w:rStyle w:val="Strong"/>
                <w:rFonts w:asciiTheme="minorHAnsi" w:hAnsiTheme="minorHAnsi" w:cstheme="minorHAnsi"/>
                <w:sz w:val="21"/>
                <w:szCs w:val="21"/>
              </w:rPr>
              <w:t xml:space="preserve"> </w:t>
            </w:r>
            <w:r w:rsidR="00316DC2" w:rsidRPr="003D12F4">
              <w:rPr>
                <w:rFonts w:asciiTheme="minorHAnsi" w:hAnsiTheme="minorHAnsi" w:cstheme="minorHAnsi"/>
                <w:color w:val="333333"/>
                <w:sz w:val="21"/>
                <w:szCs w:val="21"/>
              </w:rPr>
              <w:t>Build up the four/eight times table; using different structures/interpretations of multiplication and division, solve problems related to these tables; explore connections between the two, four and eight times tables.</w:t>
            </w:r>
          </w:p>
          <w:p w:rsidR="00316DC2" w:rsidRPr="003D12F4" w:rsidRDefault="00316DC2" w:rsidP="003D12F4">
            <w:pPr>
              <w:numPr>
                <w:ilvl w:val="0"/>
                <w:numId w:val="17"/>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Counting in multiples of four can be represented by the four times table. Adjacent multiples of four have a difference of four. Facts from the four times table can be used to solve multiplication and division problems with different structures.</w:t>
            </w:r>
          </w:p>
          <w:p w:rsidR="00316DC2" w:rsidRPr="003D12F4" w:rsidRDefault="00316DC2" w:rsidP="003D12F4">
            <w:pPr>
              <w:numPr>
                <w:ilvl w:val="0"/>
                <w:numId w:val="17"/>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Products in the four times table are double the products in the two times table; products in the two times table are half of the products in the four times table.</w:t>
            </w:r>
          </w:p>
          <w:p w:rsidR="00316DC2" w:rsidRPr="003D12F4" w:rsidRDefault="00316DC2" w:rsidP="003D12F4">
            <w:pPr>
              <w:numPr>
                <w:ilvl w:val="0"/>
                <w:numId w:val="17"/>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Counting in multiples of eight can be represented by the eight times table. Adjacent multiples of eight have a difference of eight. Facts from the eight times table can be used to solve multiplication and division problems with different structures.</w:t>
            </w:r>
          </w:p>
          <w:p w:rsidR="00316DC2" w:rsidRPr="003D12F4" w:rsidRDefault="00316DC2" w:rsidP="003D12F4">
            <w:pPr>
              <w:numPr>
                <w:ilvl w:val="0"/>
                <w:numId w:val="17"/>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Products in the eight times table are double the products in the four times table; products in the four times table are half of the products in the eight times table. Products that are in the two, four and eight times tables share the same factors.</w:t>
            </w:r>
          </w:p>
          <w:p w:rsidR="00E50674" w:rsidRPr="003D12F4" w:rsidRDefault="00316DC2" w:rsidP="003D12F4">
            <w:pPr>
              <w:numPr>
                <w:ilvl w:val="0"/>
                <w:numId w:val="17"/>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Divisibility rules can be used to find out whether a given number is divisible (to give a whole number) by two, four or eight.</w:t>
            </w:r>
          </w:p>
        </w:tc>
      </w:tr>
      <w:tr w:rsidR="00EE612D" w:rsidRPr="003D12F4" w:rsidTr="005E489D">
        <w:trPr>
          <w:cantSplit/>
        </w:trPr>
        <w:tc>
          <w:tcPr>
            <w:tcW w:w="0" w:type="auto"/>
          </w:tcPr>
          <w:p w:rsidR="00EE612D" w:rsidRPr="003D12F4" w:rsidRDefault="00EE612D" w:rsidP="003D12F4">
            <w:pPr>
              <w:spacing w:before="60"/>
              <w:rPr>
                <w:rFonts w:asciiTheme="minorHAnsi" w:hAnsiTheme="minorHAnsi" w:cstheme="minorHAnsi"/>
                <w:sz w:val="21"/>
                <w:szCs w:val="21"/>
              </w:rPr>
            </w:pPr>
            <w:r w:rsidRPr="003D12F4">
              <w:rPr>
                <w:rFonts w:asciiTheme="minorHAnsi" w:hAnsiTheme="minorHAnsi" w:cstheme="minorHAnsi"/>
                <w:b/>
                <w:color w:val="1E6DB3"/>
                <w:sz w:val="21"/>
                <w:szCs w:val="21"/>
              </w:rPr>
              <w:t>Number, addition and subtraction</w:t>
            </w: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bCs/>
                <w:color w:val="333333"/>
                <w:sz w:val="21"/>
                <w:szCs w:val="21"/>
              </w:rPr>
              <w:t xml:space="preserve">1.20 </w:t>
            </w:r>
            <w:r w:rsidRPr="00CA0B4F">
              <w:rPr>
                <w:rFonts w:asciiTheme="minorHAnsi" w:hAnsiTheme="minorHAnsi" w:cstheme="minorHAnsi"/>
                <w:b/>
                <w:bCs/>
                <w:color w:val="333333"/>
                <w:sz w:val="21"/>
                <w:szCs w:val="21"/>
                <w:highlight w:val="yellow"/>
              </w:rPr>
              <w:t>Algorithms: column addition</w:t>
            </w:r>
            <w:r w:rsidR="00316DC2" w:rsidRPr="003D12F4">
              <w:rPr>
                <w:rFonts w:asciiTheme="minorHAnsi" w:hAnsiTheme="minorHAnsi" w:cstheme="minorHAnsi"/>
                <w:b/>
                <w:bCs/>
                <w:color w:val="333333"/>
                <w:sz w:val="21"/>
                <w:szCs w:val="21"/>
              </w:rPr>
              <w:t xml:space="preserve"> </w:t>
            </w:r>
            <w:r w:rsidR="00316DC2" w:rsidRPr="003D12F4">
              <w:rPr>
                <w:rFonts w:asciiTheme="minorHAnsi" w:hAnsiTheme="minorHAnsi" w:cstheme="minorHAnsi"/>
                <w:color w:val="333333"/>
                <w:sz w:val="21"/>
                <w:szCs w:val="21"/>
              </w:rPr>
              <w:t>Introduce children to the column algorithm for addition calculations, applying the algorithm to a variety of aggregation and augmentation contexts for two-digit and three-digit numbers; explore regrouping (column total is ten or greater) in detail.</w:t>
            </w:r>
          </w:p>
          <w:p w:rsidR="00316DC2" w:rsidRPr="003D12F4" w:rsidRDefault="00316DC2" w:rsidP="003D12F4">
            <w:pPr>
              <w:numPr>
                <w:ilvl w:val="0"/>
                <w:numId w:val="1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Any numbers can be added together using an algorithm called</w:t>
            </w:r>
            <w:r w:rsidRPr="003D12F4">
              <w:rPr>
                <w:rStyle w:val="apple-converted-space"/>
                <w:rFonts w:asciiTheme="minorHAnsi" w:eastAsiaTheme="majorEastAsia" w:hAnsiTheme="minorHAnsi" w:cstheme="minorHAnsi"/>
                <w:color w:val="333333"/>
                <w:sz w:val="21"/>
                <w:szCs w:val="21"/>
              </w:rPr>
              <w:t> </w:t>
            </w:r>
            <w:r w:rsidRPr="003D12F4">
              <w:rPr>
                <w:rStyle w:val="Emphasis"/>
                <w:rFonts w:asciiTheme="minorHAnsi" w:hAnsiTheme="minorHAnsi" w:cstheme="minorHAnsi"/>
                <w:color w:val="333333"/>
                <w:sz w:val="21"/>
                <w:szCs w:val="21"/>
              </w:rPr>
              <w:t>‘column addition’</w:t>
            </w:r>
            <w:r w:rsidRPr="003D12F4">
              <w:rPr>
                <w:rFonts w:asciiTheme="minorHAnsi" w:hAnsiTheme="minorHAnsi" w:cstheme="minorHAnsi"/>
                <w:color w:val="333333"/>
                <w:sz w:val="21"/>
                <w:szCs w:val="21"/>
              </w:rPr>
              <w:t>.</w:t>
            </w:r>
          </w:p>
          <w:p w:rsidR="00316DC2" w:rsidRPr="003D12F4" w:rsidRDefault="00316DC2" w:rsidP="003D12F4">
            <w:pPr>
              <w:numPr>
                <w:ilvl w:val="0"/>
                <w:numId w:val="1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The digits of the addends must be aligned correctly before the algorithm is applied.</w:t>
            </w:r>
          </w:p>
          <w:p w:rsidR="00316DC2" w:rsidRPr="003D12F4" w:rsidRDefault="00316DC2" w:rsidP="003D12F4">
            <w:pPr>
              <w:numPr>
                <w:ilvl w:val="0"/>
                <w:numId w:val="1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In column addition, the digits of the addends are added working from the least significant digit (on the right) to the most significant digit (on the left).</w:t>
            </w:r>
          </w:p>
          <w:p w:rsidR="00316DC2" w:rsidRPr="003D12F4" w:rsidRDefault="00316DC2" w:rsidP="003D12F4">
            <w:pPr>
              <w:numPr>
                <w:ilvl w:val="0"/>
                <w:numId w:val="1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If any column sums to ten or greater, we must</w:t>
            </w:r>
            <w:r w:rsidRPr="003D12F4">
              <w:rPr>
                <w:rStyle w:val="apple-converted-space"/>
                <w:rFonts w:asciiTheme="minorHAnsi" w:eastAsiaTheme="majorEastAsia" w:hAnsiTheme="minorHAnsi" w:cstheme="minorHAnsi"/>
                <w:color w:val="333333"/>
                <w:sz w:val="21"/>
                <w:szCs w:val="21"/>
              </w:rPr>
              <w:t> </w:t>
            </w:r>
            <w:r w:rsidRPr="003D12F4">
              <w:rPr>
                <w:rStyle w:val="Emphasis"/>
                <w:rFonts w:asciiTheme="minorHAnsi" w:hAnsiTheme="minorHAnsi" w:cstheme="minorHAnsi"/>
                <w:color w:val="333333"/>
                <w:sz w:val="21"/>
                <w:szCs w:val="21"/>
              </w:rPr>
              <w:t>‘regroup’</w:t>
            </w:r>
            <w:r w:rsidRPr="003D12F4">
              <w:rPr>
                <w:rFonts w:asciiTheme="minorHAnsi" w:hAnsiTheme="minorHAnsi" w:cstheme="minorHAnsi"/>
                <w:color w:val="333333"/>
                <w:sz w:val="21"/>
                <w:szCs w:val="21"/>
              </w:rPr>
              <w:t>.</w:t>
            </w:r>
          </w:p>
          <w:p w:rsidR="00E50674" w:rsidRPr="003D12F4" w:rsidRDefault="00316DC2" w:rsidP="003D12F4">
            <w:pPr>
              <w:numPr>
                <w:ilvl w:val="0"/>
                <w:numId w:val="1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The numbers within each column should be added in the most efficient order.</w:t>
            </w:r>
          </w:p>
        </w:tc>
      </w:tr>
      <w:tr w:rsidR="00EE612D" w:rsidRPr="003D12F4" w:rsidTr="005E489D">
        <w:trPr>
          <w:cantSplit/>
        </w:trPr>
        <w:tc>
          <w:tcPr>
            <w:tcW w:w="0" w:type="auto"/>
          </w:tcPr>
          <w:p w:rsidR="00EE612D" w:rsidRPr="003D12F4" w:rsidRDefault="00EE612D" w:rsidP="003D12F4">
            <w:pPr>
              <w:spacing w:before="60"/>
              <w:rPr>
                <w:rFonts w:asciiTheme="minorHAnsi" w:hAnsiTheme="minorHAnsi" w:cstheme="minorHAnsi"/>
                <w:bCs/>
                <w:i/>
                <w:color w:val="333333"/>
                <w:sz w:val="21"/>
                <w:szCs w:val="21"/>
              </w:rPr>
            </w:pPr>
            <w:r w:rsidRPr="003D12F4">
              <w:rPr>
                <w:rFonts w:asciiTheme="minorHAnsi" w:hAnsiTheme="minorHAnsi" w:cstheme="minorHAnsi"/>
                <w:b/>
                <w:color w:val="1E6DB3"/>
                <w:sz w:val="21"/>
                <w:szCs w:val="21"/>
              </w:rPr>
              <w:t>Multiplication &amp; Division</w:t>
            </w:r>
            <w:r w:rsidRPr="003D12F4">
              <w:rPr>
                <w:rFonts w:asciiTheme="minorHAnsi" w:hAnsiTheme="minorHAnsi" w:cstheme="minorHAnsi"/>
                <w:bCs/>
                <w:i/>
                <w:color w:val="333333"/>
                <w:sz w:val="21"/>
                <w:szCs w:val="21"/>
              </w:rPr>
              <w:t xml:space="preserve"> </w:t>
            </w: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bCs/>
                <w:color w:val="333333"/>
                <w:sz w:val="21"/>
                <w:szCs w:val="21"/>
              </w:rPr>
              <w:t xml:space="preserve">2.8 </w:t>
            </w:r>
            <w:r w:rsidRPr="00CA0B4F">
              <w:rPr>
                <w:rFonts w:asciiTheme="minorHAnsi" w:hAnsiTheme="minorHAnsi" w:cstheme="minorHAnsi"/>
                <w:b/>
                <w:bCs/>
                <w:color w:val="333333"/>
                <w:sz w:val="21"/>
                <w:szCs w:val="21"/>
                <w:highlight w:val="yellow"/>
              </w:rPr>
              <w:t>Times tables 3, 6 and 9, and the relationship between them</w:t>
            </w:r>
            <w:r w:rsidR="00316DC2" w:rsidRPr="003D12F4">
              <w:rPr>
                <w:rFonts w:asciiTheme="minorHAnsi" w:hAnsiTheme="minorHAnsi" w:cstheme="minorHAnsi"/>
                <w:b/>
                <w:bCs/>
                <w:color w:val="333333"/>
                <w:sz w:val="21"/>
                <w:szCs w:val="21"/>
              </w:rPr>
              <w:tab/>
              <w:t xml:space="preserve"> </w:t>
            </w:r>
            <w:r w:rsidR="00316DC2" w:rsidRPr="003D12F4">
              <w:rPr>
                <w:rFonts w:asciiTheme="minorHAnsi" w:hAnsiTheme="minorHAnsi" w:cstheme="minorHAnsi"/>
                <w:color w:val="333333"/>
                <w:sz w:val="21"/>
                <w:szCs w:val="21"/>
              </w:rPr>
              <w:t>Build up the three/six/nine times table; using different structures/interpretations of multiplication and division, solve problems related to these tables; explore connections between the three, six and nine times tables.</w:t>
            </w:r>
          </w:p>
          <w:p w:rsidR="00316DC2" w:rsidRPr="003D12F4"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Counting in multiples of three can be represented by the three times table. Adjacent multiples of three have a difference of three. Facts from the three times table can be used to solve multiplication and division problems with different structures.</w:t>
            </w:r>
          </w:p>
          <w:p w:rsidR="00316DC2" w:rsidRPr="003D12F4"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Counting in multiples of six can be represented by the six times table. Adjacent multiples of six have a difference of six. Facts from the six times table can be used to solve multiplication and division problems with different structures.</w:t>
            </w:r>
          </w:p>
          <w:p w:rsidR="00316DC2" w:rsidRPr="003D12F4"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Products in the six times table are double the products in the three times table; products in the three times table are half of the products in the six times table.</w:t>
            </w:r>
          </w:p>
          <w:p w:rsidR="00316DC2" w:rsidRPr="003D12F4"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Counting in multiples of nine can be represented by the nine times table. Adjacent multiples of nine have a difference of nine. Facts from the nine times table can be used to solve multiplication and division problems with different structures.</w:t>
            </w:r>
          </w:p>
          <w:p w:rsidR="00316DC2" w:rsidRPr="003D12F4"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Products in the nine times table are triple the products in the three times table. Products that are in the three, six and nine times tables share the same factors.</w:t>
            </w:r>
          </w:p>
          <w:p w:rsidR="001D0AFD" w:rsidRDefault="00316DC2" w:rsidP="003D12F4">
            <w:pPr>
              <w:numPr>
                <w:ilvl w:val="0"/>
                <w:numId w:val="18"/>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6</w:t>
            </w:r>
            <w:r w:rsidRPr="003D12F4">
              <w:rPr>
                <w:rFonts w:asciiTheme="minorHAnsi" w:hAnsiTheme="minorHAnsi" w:cstheme="minorHAnsi"/>
                <w:color w:val="333333"/>
                <w:sz w:val="21"/>
                <w:szCs w:val="21"/>
              </w:rPr>
              <w:t>: Divisibility rules can be used to find out whether a given number is divisible (to give a whole number) by three, six or nine.</w:t>
            </w:r>
          </w:p>
          <w:p w:rsidR="003D12F4" w:rsidRDefault="003D12F4" w:rsidP="003D12F4">
            <w:pPr>
              <w:spacing w:before="60"/>
              <w:rPr>
                <w:rFonts w:asciiTheme="minorHAnsi" w:hAnsiTheme="minorHAnsi" w:cstheme="minorHAnsi"/>
                <w:color w:val="333333"/>
                <w:sz w:val="21"/>
                <w:szCs w:val="21"/>
              </w:rPr>
            </w:pPr>
          </w:p>
          <w:p w:rsidR="003D12F4" w:rsidRDefault="003D12F4" w:rsidP="003D12F4">
            <w:pPr>
              <w:spacing w:before="60"/>
              <w:rPr>
                <w:rFonts w:asciiTheme="minorHAnsi" w:hAnsiTheme="minorHAnsi" w:cstheme="minorHAnsi"/>
                <w:color w:val="333333"/>
                <w:sz w:val="21"/>
                <w:szCs w:val="21"/>
              </w:rPr>
            </w:pPr>
          </w:p>
          <w:p w:rsidR="003D12F4" w:rsidRPr="003D12F4" w:rsidRDefault="003D12F4" w:rsidP="003D12F4">
            <w:pPr>
              <w:spacing w:before="60"/>
              <w:rPr>
                <w:rFonts w:asciiTheme="minorHAnsi" w:hAnsiTheme="minorHAnsi" w:cstheme="minorHAnsi"/>
                <w:color w:val="333333"/>
                <w:sz w:val="21"/>
                <w:szCs w:val="21"/>
              </w:rPr>
            </w:pPr>
          </w:p>
        </w:tc>
      </w:tr>
      <w:tr w:rsidR="00EE612D" w:rsidRPr="003D12F4" w:rsidTr="005E489D">
        <w:trPr>
          <w:cantSplit/>
        </w:trPr>
        <w:tc>
          <w:tcPr>
            <w:tcW w:w="0" w:type="auto"/>
          </w:tcPr>
          <w:p w:rsidR="00EE612D" w:rsidRPr="003D12F4" w:rsidRDefault="00EE612D" w:rsidP="003D12F4">
            <w:pPr>
              <w:spacing w:before="60"/>
              <w:rPr>
                <w:rFonts w:asciiTheme="minorHAnsi" w:hAnsiTheme="minorHAnsi" w:cstheme="minorHAnsi"/>
                <w:sz w:val="21"/>
                <w:szCs w:val="21"/>
              </w:rPr>
            </w:pPr>
            <w:r w:rsidRPr="003D12F4">
              <w:rPr>
                <w:rFonts w:asciiTheme="minorHAnsi" w:hAnsiTheme="minorHAnsi" w:cstheme="minorHAnsi"/>
                <w:b/>
                <w:color w:val="1E6DB3"/>
                <w:sz w:val="21"/>
                <w:szCs w:val="21"/>
              </w:rPr>
              <w:lastRenderedPageBreak/>
              <w:t>Number, addition and subtraction</w:t>
            </w:r>
            <w:r w:rsidR="00816B55" w:rsidRPr="003D12F4">
              <w:rPr>
                <w:rFonts w:asciiTheme="minorHAnsi" w:hAnsiTheme="minorHAnsi" w:cstheme="minorHAnsi"/>
                <w:b/>
                <w:color w:val="1E6DB3"/>
                <w:sz w:val="21"/>
                <w:szCs w:val="21"/>
              </w:rPr>
              <w:t xml:space="preserve"> </w:t>
            </w:r>
            <w:r w:rsidR="00816B55" w:rsidRPr="003D12F4">
              <w:rPr>
                <w:rFonts w:asciiTheme="minorHAnsi" w:hAnsiTheme="minorHAnsi" w:cstheme="minorHAnsi"/>
                <w:bCs/>
                <w:i/>
                <w:color w:val="333333"/>
                <w:sz w:val="21"/>
                <w:szCs w:val="21"/>
              </w:rPr>
              <w:t>It is suggested that there is a gap in the teaching of one, after column addition (segment 1.20) and before column subtraction (segment 1.21), to minimise the chance of children confusing the two algorithms.</w:t>
            </w:r>
          </w:p>
        </w:tc>
      </w:tr>
      <w:tr w:rsidR="0069327B" w:rsidRPr="003D12F4" w:rsidTr="00F92AE4">
        <w:trPr>
          <w:cantSplit/>
          <w:trHeight w:val="397"/>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bCs/>
                <w:color w:val="333333"/>
                <w:sz w:val="21"/>
                <w:szCs w:val="21"/>
              </w:rPr>
              <w:t xml:space="preserve">1.21  </w:t>
            </w:r>
            <w:r w:rsidRPr="00CA0B4F">
              <w:rPr>
                <w:rFonts w:asciiTheme="minorHAnsi" w:hAnsiTheme="minorHAnsi" w:cstheme="minorHAnsi"/>
                <w:b/>
                <w:bCs/>
                <w:color w:val="333333"/>
                <w:sz w:val="21"/>
                <w:szCs w:val="21"/>
                <w:highlight w:val="yellow"/>
              </w:rPr>
              <w:t>Algorithms: column subtraction</w:t>
            </w:r>
            <w:r w:rsidR="00316DC2" w:rsidRPr="003D12F4">
              <w:rPr>
                <w:rFonts w:asciiTheme="minorHAnsi" w:hAnsiTheme="minorHAnsi" w:cstheme="minorHAnsi"/>
                <w:b/>
                <w:bCs/>
                <w:color w:val="333333"/>
                <w:sz w:val="21"/>
                <w:szCs w:val="21"/>
              </w:rPr>
              <w:t xml:space="preserve"> </w:t>
            </w:r>
            <w:r w:rsidR="00316DC2" w:rsidRPr="003D12F4">
              <w:rPr>
                <w:rFonts w:asciiTheme="minorHAnsi" w:hAnsiTheme="minorHAnsi" w:cstheme="minorHAnsi"/>
                <w:color w:val="333333"/>
                <w:sz w:val="21"/>
                <w:szCs w:val="21"/>
              </w:rPr>
              <w:t>Introduce children to the column algorithm for subtraction calculations, applying the algorithm to a variety of partitioning, reduction and difference contexts for two-digit and three-digit numbers; explore exchange (insufficient quantity to subtract from in a column) in detail.</w:t>
            </w:r>
          </w:p>
          <w:p w:rsidR="00316DC2" w:rsidRPr="003D12F4" w:rsidRDefault="00316DC2" w:rsidP="003D12F4">
            <w:pPr>
              <w:numPr>
                <w:ilvl w:val="0"/>
                <w:numId w:val="16"/>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One number can be subtracted from another using an algorithm called</w:t>
            </w:r>
            <w:r w:rsidRPr="003D12F4">
              <w:rPr>
                <w:rStyle w:val="apple-converted-space"/>
                <w:rFonts w:asciiTheme="minorHAnsi" w:eastAsiaTheme="majorEastAsia" w:hAnsiTheme="minorHAnsi" w:cstheme="minorHAnsi"/>
                <w:color w:val="333333"/>
                <w:sz w:val="21"/>
                <w:szCs w:val="21"/>
              </w:rPr>
              <w:t> </w:t>
            </w:r>
            <w:r w:rsidRPr="003D12F4">
              <w:rPr>
                <w:rStyle w:val="Emphasis"/>
                <w:rFonts w:asciiTheme="minorHAnsi" w:hAnsiTheme="minorHAnsi" w:cstheme="minorHAnsi"/>
                <w:color w:val="333333"/>
                <w:sz w:val="21"/>
                <w:szCs w:val="21"/>
              </w:rPr>
              <w:t>‘column subtraction’</w:t>
            </w:r>
            <w:r w:rsidRPr="003D12F4">
              <w:rPr>
                <w:rFonts w:asciiTheme="minorHAnsi" w:hAnsiTheme="minorHAnsi" w:cstheme="minorHAnsi"/>
                <w:color w:val="333333"/>
                <w:sz w:val="21"/>
                <w:szCs w:val="21"/>
              </w:rPr>
              <w:t>; the digits of the minuend and subtrahend must be aligned correctly; the algorithm is applied working from the least significant digit (on the right) to the most significant digit (on the left).</w:t>
            </w:r>
          </w:p>
          <w:p w:rsidR="0069327B" w:rsidRPr="003D12F4" w:rsidRDefault="00316DC2" w:rsidP="003D12F4">
            <w:pPr>
              <w:numPr>
                <w:ilvl w:val="0"/>
                <w:numId w:val="16"/>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If there is an insufficient number of any unit to subtract from in a given column, we must exchange from the column to the left.</w:t>
            </w:r>
          </w:p>
        </w:tc>
      </w:tr>
      <w:tr w:rsidR="00EE612D" w:rsidRPr="003D12F4" w:rsidTr="005E489D">
        <w:trPr>
          <w:cantSplit/>
        </w:trPr>
        <w:tc>
          <w:tcPr>
            <w:tcW w:w="0" w:type="auto"/>
          </w:tcPr>
          <w:p w:rsidR="00EE612D" w:rsidRPr="003D12F4" w:rsidRDefault="00EE612D" w:rsidP="003D12F4">
            <w:pPr>
              <w:spacing w:before="60"/>
              <w:rPr>
                <w:rFonts w:asciiTheme="minorHAnsi" w:hAnsiTheme="minorHAnsi" w:cstheme="minorHAnsi"/>
                <w:bCs/>
                <w:i/>
                <w:color w:val="333333"/>
                <w:sz w:val="21"/>
                <w:szCs w:val="21"/>
              </w:rPr>
            </w:pPr>
            <w:r w:rsidRPr="003D12F4">
              <w:rPr>
                <w:rFonts w:asciiTheme="minorHAnsi" w:hAnsiTheme="minorHAnsi" w:cstheme="minorHAnsi"/>
                <w:b/>
                <w:color w:val="1E6DB3"/>
                <w:sz w:val="21"/>
                <w:szCs w:val="21"/>
              </w:rPr>
              <w:t xml:space="preserve">Fractions </w:t>
            </w:r>
            <w:r w:rsidRPr="003D12F4">
              <w:rPr>
                <w:rFonts w:asciiTheme="minorHAnsi" w:hAnsiTheme="minorHAnsi" w:cstheme="minorHAnsi"/>
                <w:bCs/>
                <w:i/>
                <w:color w:val="333333"/>
                <w:sz w:val="21"/>
                <w:szCs w:val="21"/>
              </w:rPr>
              <w:t xml:space="preserve"> </w:t>
            </w:r>
            <w:r w:rsidR="00816B55" w:rsidRPr="003D12F4">
              <w:rPr>
                <w:rFonts w:asciiTheme="minorHAnsi" w:hAnsiTheme="minorHAnsi" w:cstheme="minorHAnsi"/>
                <w:bCs/>
                <w:i/>
                <w:color w:val="333333"/>
                <w:sz w:val="21"/>
                <w:szCs w:val="21"/>
              </w:rPr>
              <w:t>Continue to develop back to you or fluency in times tables, in separate sessions, alongside the teaching and learning of these Spine 3 segments (3.1-3.4).</w:t>
            </w: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Style w:val="Strong"/>
                <w:rFonts w:asciiTheme="minorHAnsi" w:hAnsiTheme="minorHAnsi" w:cstheme="minorHAnsi"/>
                <w:b w:val="0"/>
                <w:bCs w:val="0"/>
                <w:sz w:val="21"/>
                <w:szCs w:val="21"/>
              </w:rPr>
              <w:t>3</w:t>
            </w:r>
            <w:r w:rsidRPr="003D12F4">
              <w:rPr>
                <w:rStyle w:val="Strong"/>
                <w:rFonts w:asciiTheme="minorHAnsi" w:hAnsiTheme="minorHAnsi" w:cstheme="minorHAnsi"/>
                <w:sz w:val="21"/>
                <w:szCs w:val="21"/>
              </w:rPr>
              <w:t xml:space="preserve">.1 </w:t>
            </w:r>
            <w:r w:rsidRPr="00CA0B4F">
              <w:rPr>
                <w:rStyle w:val="Strong"/>
                <w:rFonts w:asciiTheme="minorHAnsi" w:hAnsiTheme="minorHAnsi" w:cstheme="minorHAnsi"/>
                <w:sz w:val="21"/>
                <w:szCs w:val="21"/>
                <w:highlight w:val="yellow"/>
              </w:rPr>
              <w:t>Preparing for fractions: the part-whole relationship</w:t>
            </w:r>
            <w:r w:rsidR="00316DC2" w:rsidRPr="003D12F4">
              <w:rPr>
                <w:rStyle w:val="Strong"/>
                <w:rFonts w:asciiTheme="minorHAnsi" w:hAnsiTheme="minorHAnsi" w:cstheme="minorHAnsi"/>
                <w:sz w:val="21"/>
                <w:szCs w:val="21"/>
              </w:rPr>
              <w:tab/>
              <w:t xml:space="preserve"> </w:t>
            </w:r>
            <w:r w:rsidR="00316DC2" w:rsidRPr="003D12F4">
              <w:rPr>
                <w:rFonts w:asciiTheme="minorHAnsi" w:hAnsiTheme="minorHAnsi" w:cstheme="minorHAnsi"/>
                <w:color w:val="333333"/>
                <w:sz w:val="21"/>
                <w:szCs w:val="21"/>
              </w:rPr>
              <w:t>Identify parts and wholes of areas, lengths and sets. Identify equal and unequal parts; make judgements about the relative size of a part to a whole. Find the whole when the size of a part and number of equal parts is known.</w:t>
            </w:r>
          </w:p>
          <w:p w:rsidR="00316DC2" w:rsidRPr="003D12F4" w:rsidRDefault="00316DC2" w:rsidP="003D12F4">
            <w:pPr>
              <w:numPr>
                <w:ilvl w:val="0"/>
                <w:numId w:val="20"/>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Any element of a whole is a part; if a whole is defined, then a part of this whole can be defined.</w:t>
            </w:r>
          </w:p>
          <w:p w:rsidR="00316DC2" w:rsidRPr="003D12F4" w:rsidRDefault="00316DC2" w:rsidP="003D12F4">
            <w:pPr>
              <w:numPr>
                <w:ilvl w:val="0"/>
                <w:numId w:val="20"/>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A whole can be divided into equal parts or unequal parts.</w:t>
            </w:r>
          </w:p>
          <w:p w:rsidR="00316DC2" w:rsidRPr="003D12F4" w:rsidRDefault="00316DC2" w:rsidP="003D12F4">
            <w:pPr>
              <w:numPr>
                <w:ilvl w:val="0"/>
                <w:numId w:val="20"/>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The relative size of parts can be compared.</w:t>
            </w:r>
          </w:p>
          <w:p w:rsidR="003E7B5D" w:rsidRPr="003D12F4" w:rsidRDefault="00316DC2" w:rsidP="003D12F4">
            <w:pPr>
              <w:numPr>
                <w:ilvl w:val="0"/>
                <w:numId w:val="20"/>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If one of the equal parts and the number of equal parts are known, these can be used to construct the whole.</w:t>
            </w: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color w:val="333333"/>
                <w:sz w:val="21"/>
                <w:szCs w:val="21"/>
              </w:rPr>
              <w:t>3.2</w:t>
            </w:r>
            <w:r w:rsidRPr="003D12F4">
              <w:rPr>
                <w:rFonts w:asciiTheme="minorHAnsi" w:hAnsiTheme="minorHAnsi" w:cstheme="minorHAnsi"/>
                <w:color w:val="333333"/>
                <w:sz w:val="21"/>
                <w:szCs w:val="21"/>
              </w:rPr>
              <w:t xml:space="preserve"> </w:t>
            </w:r>
            <w:r w:rsidRPr="00CA0B4F">
              <w:rPr>
                <w:rFonts w:asciiTheme="minorHAnsi" w:hAnsiTheme="minorHAnsi" w:cstheme="minorHAnsi"/>
                <w:b/>
                <w:color w:val="333333"/>
                <w:sz w:val="21"/>
                <w:szCs w:val="21"/>
                <w:highlight w:val="yellow"/>
              </w:rPr>
              <w:t>Unit fractions: identifying, representing and comparing</w:t>
            </w:r>
            <w:r w:rsidR="00316DC2" w:rsidRPr="003D12F4">
              <w:rPr>
                <w:rFonts w:asciiTheme="minorHAnsi" w:hAnsiTheme="minorHAnsi" w:cstheme="minorHAnsi"/>
                <w:b/>
                <w:color w:val="333333"/>
                <w:sz w:val="21"/>
                <w:szCs w:val="21"/>
              </w:rPr>
              <w:t xml:space="preserve"> </w:t>
            </w:r>
            <w:r w:rsidR="00316DC2" w:rsidRPr="003D12F4">
              <w:rPr>
                <w:rFonts w:asciiTheme="minorHAnsi" w:hAnsiTheme="minorHAnsi" w:cstheme="minorHAnsi"/>
                <w:color w:val="333333"/>
                <w:sz w:val="21"/>
                <w:szCs w:val="21"/>
              </w:rPr>
              <w:t>Learn to name and write unit fractions. Recognise and show unit fractions of areas, lengths and quantities. Relate numerators and denominators to parts and wholes; explore how the greater the denominators, the smaller the unit fraction.</w:t>
            </w:r>
          </w:p>
          <w:p w:rsidR="00316DC2"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A whole can be divided into any number of equal parts.</w:t>
            </w:r>
          </w:p>
          <w:p w:rsidR="00316DC2"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Fraction notation can be used to describe an equal part of the whole. One equal part of a whole is called a unit fraction. Each unit fraction has a name.</w:t>
            </w:r>
          </w:p>
          <w:p w:rsidR="00316DC2"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Fractional notation can be applied to represent one part of a whole in different contexts.</w:t>
            </w:r>
          </w:p>
          <w:p w:rsidR="00316DC2"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Equal parts do not need to look the same.</w:t>
            </w:r>
          </w:p>
          <w:p w:rsidR="00316DC2"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Unit fractions can be compared and ordered by looking at the denominator. The greater the denominator, the smaller the fraction.</w:t>
            </w:r>
          </w:p>
          <w:p w:rsidR="00E50674" w:rsidRPr="003D12F4" w:rsidRDefault="00316DC2" w:rsidP="003D12F4">
            <w:pPr>
              <w:numPr>
                <w:ilvl w:val="0"/>
                <w:numId w:val="21"/>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6</w:t>
            </w:r>
            <w:r w:rsidRPr="003D12F4">
              <w:rPr>
                <w:rFonts w:asciiTheme="minorHAnsi" w:hAnsiTheme="minorHAnsi" w:cstheme="minorHAnsi"/>
                <w:color w:val="333333"/>
                <w:sz w:val="21"/>
                <w:szCs w:val="21"/>
              </w:rPr>
              <w:t>: If the size of a unit fraction is known, the size of the whole can be worked out by repeated addition of that unit fraction.</w:t>
            </w:r>
          </w:p>
        </w:tc>
      </w:tr>
      <w:tr w:rsidR="00E50674" w:rsidRPr="003D12F4" w:rsidTr="00F92AE4">
        <w:trPr>
          <w:cantSplit/>
        </w:trPr>
        <w:tc>
          <w:tcPr>
            <w:tcW w:w="0" w:type="auto"/>
          </w:tcPr>
          <w:p w:rsidR="00316DC2" w:rsidRPr="003D12F4" w:rsidRDefault="00B13AC3"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bCs/>
                <w:color w:val="333333"/>
                <w:sz w:val="21"/>
                <w:szCs w:val="21"/>
              </w:rPr>
              <w:t xml:space="preserve">3.3 </w:t>
            </w:r>
            <w:r w:rsidR="00EE612D" w:rsidRPr="00CA0B4F">
              <w:rPr>
                <w:rFonts w:asciiTheme="minorHAnsi" w:hAnsiTheme="minorHAnsi" w:cstheme="minorHAnsi"/>
                <w:b/>
                <w:bCs/>
                <w:color w:val="333333"/>
                <w:sz w:val="21"/>
                <w:szCs w:val="21"/>
                <w:highlight w:val="yellow"/>
              </w:rPr>
              <w:t>Non-unit fractions identifying, representing and comparing</w:t>
            </w:r>
            <w:r w:rsidR="004F5689" w:rsidRPr="003D12F4">
              <w:rPr>
                <w:rFonts w:asciiTheme="minorHAnsi" w:hAnsiTheme="minorHAnsi" w:cstheme="minorHAnsi"/>
                <w:b/>
                <w:bCs/>
                <w:color w:val="333333"/>
                <w:sz w:val="21"/>
                <w:szCs w:val="21"/>
              </w:rPr>
              <w:t xml:space="preserve"> </w:t>
            </w:r>
            <w:r w:rsidR="00316DC2" w:rsidRPr="003D12F4">
              <w:rPr>
                <w:rFonts w:asciiTheme="minorHAnsi" w:hAnsiTheme="minorHAnsi" w:cstheme="minorHAnsi"/>
                <w:color w:val="333333"/>
                <w:sz w:val="21"/>
                <w:szCs w:val="21"/>
              </w:rPr>
              <w:t>Learn to name and write non-unit fractions, recognising them as multiples of unit fractions. Learn that fractions are numbers that can be positioned on a number line. Compare and order fractions with the same denominator or same numerator.</w:t>
            </w:r>
          </w:p>
          <w:p w:rsidR="00316DC2" w:rsidRPr="003D12F4" w:rsidRDefault="00316DC2" w:rsidP="003D12F4">
            <w:pPr>
              <w:pStyle w:val="NormalWeb"/>
              <w:spacing w:before="60" w:beforeAutospacing="0" w:after="0" w:afterAutospacing="0"/>
              <w:rPr>
                <w:rFonts w:asciiTheme="minorHAnsi" w:hAnsiTheme="minorHAnsi" w:cstheme="minorHAnsi"/>
                <w:color w:val="333333"/>
                <w:sz w:val="21"/>
                <w:szCs w:val="21"/>
                <w:u w:val="single"/>
              </w:rPr>
            </w:pPr>
            <w:r w:rsidRPr="00CA0B4F">
              <w:rPr>
                <w:rStyle w:val="Strong"/>
                <w:rFonts w:asciiTheme="minorHAnsi" w:hAnsiTheme="minorHAnsi" w:cstheme="minorHAnsi"/>
                <w:color w:val="333333"/>
                <w:sz w:val="21"/>
                <w:szCs w:val="21"/>
                <w:highlight w:val="yellow"/>
                <w:u w:val="single"/>
              </w:rPr>
              <w:t>Non-unit fractions</w:t>
            </w:r>
          </w:p>
          <w:p w:rsidR="00316DC2" w:rsidRPr="003D12F4" w:rsidRDefault="00316DC2" w:rsidP="003D12F4">
            <w:pPr>
              <w:numPr>
                <w:ilvl w:val="0"/>
                <w:numId w:val="2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All non-unit fractions are made up of more than one of the same unit fraction.</w:t>
            </w:r>
          </w:p>
          <w:p w:rsidR="00316DC2" w:rsidRPr="003D12F4" w:rsidRDefault="00316DC2" w:rsidP="003D12F4">
            <w:pPr>
              <w:numPr>
                <w:ilvl w:val="0"/>
                <w:numId w:val="2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Non-unit fractions are written using the same convention as unit fractions. A non-unit fraction has a numerator greater than one.</w:t>
            </w:r>
          </w:p>
          <w:p w:rsidR="00316DC2" w:rsidRPr="003D12F4" w:rsidRDefault="00316DC2" w:rsidP="003D12F4">
            <w:pPr>
              <w:numPr>
                <w:ilvl w:val="0"/>
                <w:numId w:val="22"/>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When the numerator and the denominator in a fraction are the same, the fraction is equivalent to one whole.</w:t>
            </w:r>
          </w:p>
          <w:p w:rsidR="00316DC2" w:rsidRPr="003D12F4" w:rsidRDefault="00316DC2" w:rsidP="003D12F4">
            <w:pPr>
              <w:pStyle w:val="NormalWeb"/>
              <w:spacing w:before="60" w:beforeAutospacing="0" w:after="0" w:afterAutospacing="0"/>
              <w:rPr>
                <w:rFonts w:asciiTheme="minorHAnsi" w:hAnsiTheme="minorHAnsi" w:cstheme="minorHAnsi"/>
                <w:color w:val="333333"/>
                <w:sz w:val="21"/>
                <w:szCs w:val="21"/>
                <w:u w:val="single"/>
              </w:rPr>
            </w:pPr>
            <w:r w:rsidRPr="00CA0B4F">
              <w:rPr>
                <w:rStyle w:val="Strong"/>
                <w:rFonts w:asciiTheme="minorHAnsi" w:hAnsiTheme="minorHAnsi" w:cstheme="minorHAnsi"/>
                <w:color w:val="333333"/>
                <w:sz w:val="21"/>
                <w:szCs w:val="21"/>
                <w:highlight w:val="yellow"/>
                <w:u w:val="single"/>
              </w:rPr>
              <w:t>Fractions as numbers</w:t>
            </w:r>
          </w:p>
          <w:p w:rsidR="00316DC2" w:rsidRPr="003D12F4" w:rsidRDefault="00316DC2" w:rsidP="003D12F4">
            <w:pPr>
              <w:numPr>
                <w:ilvl w:val="0"/>
                <w:numId w:val="2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All unit and non-unit fractions are numbers that can be placed on a number line.</w:t>
            </w:r>
          </w:p>
          <w:p w:rsidR="00316DC2" w:rsidRPr="003D12F4" w:rsidRDefault="00316DC2" w:rsidP="003D12F4">
            <w:pPr>
              <w:numPr>
                <w:ilvl w:val="0"/>
                <w:numId w:val="2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5</w:t>
            </w:r>
            <w:r w:rsidRPr="003D12F4">
              <w:rPr>
                <w:rFonts w:asciiTheme="minorHAnsi" w:hAnsiTheme="minorHAnsi" w:cstheme="minorHAnsi"/>
                <w:color w:val="333333"/>
                <w:sz w:val="21"/>
                <w:szCs w:val="21"/>
              </w:rPr>
              <w:t>: Repeated addition of a unit fraction results in a non-unit fraction.</w:t>
            </w:r>
          </w:p>
          <w:p w:rsidR="00316DC2" w:rsidRDefault="00316DC2" w:rsidP="003D12F4">
            <w:pPr>
              <w:numPr>
                <w:ilvl w:val="0"/>
                <w:numId w:val="23"/>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6</w:t>
            </w:r>
            <w:r w:rsidRPr="003D12F4">
              <w:rPr>
                <w:rFonts w:asciiTheme="minorHAnsi" w:hAnsiTheme="minorHAnsi" w:cstheme="minorHAnsi"/>
                <w:color w:val="333333"/>
                <w:sz w:val="21"/>
                <w:szCs w:val="21"/>
              </w:rPr>
              <w:t>: When the numerator and the denominator are the same, the value of the fraction is one.</w:t>
            </w:r>
          </w:p>
          <w:p w:rsidR="003D12F4" w:rsidRPr="003D12F4" w:rsidRDefault="003D12F4" w:rsidP="003D12F4">
            <w:pPr>
              <w:numPr>
                <w:ilvl w:val="0"/>
                <w:numId w:val="23"/>
              </w:numPr>
              <w:spacing w:before="60"/>
              <w:ind w:left="0"/>
              <w:rPr>
                <w:rFonts w:asciiTheme="minorHAnsi" w:hAnsiTheme="minorHAnsi" w:cstheme="minorHAnsi"/>
                <w:color w:val="333333"/>
                <w:sz w:val="21"/>
                <w:szCs w:val="21"/>
              </w:rPr>
            </w:pPr>
          </w:p>
          <w:p w:rsidR="00316DC2" w:rsidRPr="003D12F4" w:rsidRDefault="00316DC2" w:rsidP="003D12F4">
            <w:pPr>
              <w:pStyle w:val="NormalWeb"/>
              <w:spacing w:before="60" w:beforeAutospacing="0" w:after="0" w:afterAutospacing="0"/>
              <w:rPr>
                <w:rFonts w:asciiTheme="minorHAnsi" w:hAnsiTheme="minorHAnsi" w:cstheme="minorHAnsi"/>
                <w:color w:val="333333"/>
                <w:sz w:val="21"/>
                <w:szCs w:val="21"/>
                <w:u w:val="single"/>
              </w:rPr>
            </w:pPr>
            <w:r w:rsidRPr="00CA0B4F">
              <w:rPr>
                <w:rStyle w:val="Strong"/>
                <w:rFonts w:asciiTheme="minorHAnsi" w:hAnsiTheme="minorHAnsi" w:cstheme="minorHAnsi"/>
                <w:color w:val="333333"/>
                <w:sz w:val="21"/>
                <w:szCs w:val="21"/>
                <w:highlight w:val="yellow"/>
                <w:u w:val="single"/>
              </w:rPr>
              <w:t>Comparing fractions</w:t>
            </w:r>
          </w:p>
          <w:p w:rsidR="00316DC2" w:rsidRPr="003D12F4" w:rsidRDefault="00316DC2" w:rsidP="003D12F4">
            <w:pPr>
              <w:numPr>
                <w:ilvl w:val="0"/>
                <w:numId w:val="2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7</w:t>
            </w:r>
            <w:r w:rsidRPr="003D12F4">
              <w:rPr>
                <w:rFonts w:asciiTheme="minorHAnsi" w:hAnsiTheme="minorHAnsi" w:cstheme="minorHAnsi"/>
                <w:color w:val="333333"/>
                <w:sz w:val="21"/>
                <w:szCs w:val="21"/>
              </w:rPr>
              <w:t>: Non-unit fractions with the same denominator can be compared. If the denominators are the same, then the greater the numerator, the greater the fraction.</w:t>
            </w:r>
          </w:p>
          <w:p w:rsidR="00E50674" w:rsidRPr="003D12F4" w:rsidRDefault="00316DC2" w:rsidP="003D12F4">
            <w:pPr>
              <w:numPr>
                <w:ilvl w:val="0"/>
                <w:numId w:val="24"/>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8</w:t>
            </w:r>
            <w:r w:rsidRPr="003D12F4">
              <w:rPr>
                <w:rFonts w:asciiTheme="minorHAnsi" w:hAnsiTheme="minorHAnsi" w:cstheme="minorHAnsi"/>
                <w:color w:val="333333"/>
                <w:sz w:val="21"/>
                <w:szCs w:val="21"/>
              </w:rPr>
              <w:t>: Non-unit fractions with the same numerator can be compared. If the numerators are the same, then the greater the denominator, the smaller the fraction.</w:t>
            </w:r>
          </w:p>
        </w:tc>
      </w:tr>
      <w:tr w:rsidR="0069327B" w:rsidRPr="003D12F4" w:rsidTr="00F92AE4">
        <w:trPr>
          <w:cantSplit/>
        </w:trPr>
        <w:tc>
          <w:tcPr>
            <w:tcW w:w="0" w:type="auto"/>
          </w:tcPr>
          <w:p w:rsidR="00316DC2" w:rsidRPr="003D12F4" w:rsidRDefault="00EE612D" w:rsidP="003D12F4">
            <w:pPr>
              <w:pStyle w:val="NormalWeb"/>
              <w:spacing w:before="60" w:beforeAutospacing="0" w:after="0" w:afterAutospacing="0"/>
              <w:rPr>
                <w:rFonts w:asciiTheme="minorHAnsi" w:hAnsiTheme="minorHAnsi" w:cstheme="minorHAnsi"/>
                <w:color w:val="333333"/>
                <w:sz w:val="21"/>
                <w:szCs w:val="21"/>
              </w:rPr>
            </w:pPr>
            <w:r w:rsidRPr="003D12F4">
              <w:rPr>
                <w:rFonts w:asciiTheme="minorHAnsi" w:hAnsiTheme="minorHAnsi" w:cstheme="minorHAnsi"/>
                <w:b/>
                <w:bCs/>
                <w:color w:val="333333"/>
                <w:sz w:val="21"/>
                <w:szCs w:val="21"/>
              </w:rPr>
              <w:t xml:space="preserve">3.4 </w:t>
            </w:r>
            <w:r w:rsidR="0069327B" w:rsidRPr="003D12F4">
              <w:rPr>
                <w:rFonts w:asciiTheme="minorHAnsi" w:hAnsiTheme="minorHAnsi" w:cstheme="minorHAnsi"/>
                <w:b/>
                <w:bCs/>
                <w:color w:val="333333"/>
                <w:sz w:val="21"/>
                <w:szCs w:val="21"/>
              </w:rPr>
              <w:t xml:space="preserve"> </w:t>
            </w:r>
            <w:r w:rsidRPr="00CA0B4F">
              <w:rPr>
                <w:rFonts w:asciiTheme="minorHAnsi" w:hAnsiTheme="minorHAnsi" w:cstheme="minorHAnsi"/>
                <w:b/>
                <w:bCs/>
                <w:color w:val="333333"/>
                <w:sz w:val="21"/>
                <w:szCs w:val="21"/>
                <w:highlight w:val="yellow"/>
              </w:rPr>
              <w:t>Adding and subtracting within one whole</w:t>
            </w:r>
            <w:r w:rsidR="00316DC2" w:rsidRPr="003D12F4">
              <w:rPr>
                <w:rFonts w:asciiTheme="minorHAnsi" w:hAnsiTheme="minorHAnsi" w:cstheme="minorHAnsi"/>
                <w:b/>
                <w:bCs/>
                <w:color w:val="333333"/>
                <w:sz w:val="21"/>
                <w:szCs w:val="21"/>
              </w:rPr>
              <w:t xml:space="preserve"> </w:t>
            </w:r>
            <w:r w:rsidR="00316DC2" w:rsidRPr="003D12F4">
              <w:rPr>
                <w:rFonts w:asciiTheme="minorHAnsi" w:hAnsiTheme="minorHAnsi" w:cstheme="minorHAnsi"/>
                <w:color w:val="333333"/>
                <w:sz w:val="21"/>
                <w:szCs w:val="21"/>
              </w:rPr>
              <w:t>Learn to name and write unit fractions. Recognise and show unit fractions of areas, lengths and quantities. Relate numerators and denominators to parts and wholes; explore how the greater the denominators, the smaller the unit fraction.</w:t>
            </w:r>
          </w:p>
          <w:p w:rsidR="00316DC2" w:rsidRPr="003D12F4" w:rsidRDefault="00316DC2" w:rsidP="003D12F4">
            <w:pPr>
              <w:numPr>
                <w:ilvl w:val="0"/>
                <w:numId w:val="2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When adding fractions with the same denominators, just add the numerators.</w:t>
            </w:r>
          </w:p>
          <w:p w:rsidR="00316DC2" w:rsidRPr="003D12F4" w:rsidRDefault="00316DC2" w:rsidP="003D12F4">
            <w:pPr>
              <w:numPr>
                <w:ilvl w:val="0"/>
                <w:numId w:val="2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When subtracting fractions with the same denominators, just subtract the numerators.</w:t>
            </w:r>
          </w:p>
          <w:p w:rsidR="00316DC2" w:rsidRPr="003D12F4" w:rsidRDefault="00316DC2" w:rsidP="003D12F4">
            <w:pPr>
              <w:numPr>
                <w:ilvl w:val="0"/>
                <w:numId w:val="2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Addition and subtraction of fractions are the inverse of each other, just as they are for whole numbers.</w:t>
            </w:r>
          </w:p>
          <w:p w:rsidR="0069327B" w:rsidRPr="003D12F4" w:rsidRDefault="00316DC2" w:rsidP="003D12F4">
            <w:pPr>
              <w:numPr>
                <w:ilvl w:val="0"/>
                <w:numId w:val="25"/>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To subtract from one whole, first convert the whole to a fraction where the denominator and numerator are the same</w:t>
            </w:r>
          </w:p>
        </w:tc>
      </w:tr>
      <w:tr w:rsidR="00EE612D" w:rsidRPr="003D12F4" w:rsidTr="005E489D">
        <w:trPr>
          <w:cantSplit/>
        </w:trPr>
        <w:tc>
          <w:tcPr>
            <w:tcW w:w="0" w:type="auto"/>
          </w:tcPr>
          <w:p w:rsidR="00EE612D" w:rsidRPr="003D12F4" w:rsidRDefault="00EE612D" w:rsidP="003D12F4">
            <w:pPr>
              <w:spacing w:before="60"/>
              <w:rPr>
                <w:rFonts w:asciiTheme="minorHAnsi" w:hAnsiTheme="minorHAnsi" w:cstheme="minorHAnsi"/>
                <w:bCs/>
                <w:i/>
                <w:color w:val="333333"/>
                <w:sz w:val="21"/>
                <w:szCs w:val="21"/>
              </w:rPr>
            </w:pPr>
            <w:r w:rsidRPr="003D12F4">
              <w:rPr>
                <w:rFonts w:asciiTheme="minorHAnsi" w:hAnsiTheme="minorHAnsi" w:cstheme="minorHAnsi"/>
                <w:b/>
                <w:color w:val="1E6DB3"/>
                <w:sz w:val="21"/>
                <w:szCs w:val="21"/>
              </w:rPr>
              <w:t>Multiplication &amp; Division</w:t>
            </w:r>
            <w:r w:rsidRPr="003D12F4">
              <w:rPr>
                <w:rFonts w:asciiTheme="minorHAnsi" w:hAnsiTheme="minorHAnsi" w:cstheme="minorHAnsi"/>
                <w:bCs/>
                <w:i/>
                <w:color w:val="333333"/>
                <w:sz w:val="21"/>
                <w:szCs w:val="21"/>
              </w:rPr>
              <w:t xml:space="preserve"> </w:t>
            </w:r>
            <w:r w:rsidR="002D38CB" w:rsidRPr="003D12F4">
              <w:rPr>
                <w:rFonts w:asciiTheme="minorHAnsi" w:hAnsiTheme="minorHAnsi" w:cstheme="minorHAnsi"/>
                <w:bCs/>
                <w:i/>
                <w:color w:val="333333"/>
                <w:sz w:val="21"/>
                <w:szCs w:val="21"/>
              </w:rPr>
              <w:t>Segment 2.9 the sequence at the end of the year so the children have plenty of opportunity to build in individual times tables before reviewing patterns across times tables.</w:t>
            </w:r>
          </w:p>
        </w:tc>
      </w:tr>
      <w:tr w:rsidR="0085309A" w:rsidRPr="003D12F4" w:rsidTr="00F92AE4">
        <w:trPr>
          <w:cantSplit/>
        </w:trPr>
        <w:tc>
          <w:tcPr>
            <w:tcW w:w="0" w:type="auto"/>
          </w:tcPr>
          <w:p w:rsidR="00316DC2" w:rsidRPr="003D12F4" w:rsidRDefault="00EE612D" w:rsidP="003D12F4">
            <w:pPr>
              <w:pStyle w:val="NormalWeb"/>
              <w:spacing w:before="60" w:beforeAutospacing="0" w:after="0" w:afterAutospacing="0"/>
              <w:rPr>
                <w:rFonts w:asciiTheme="minorHAnsi" w:hAnsiTheme="minorHAnsi" w:cstheme="minorHAnsi"/>
                <w:color w:val="333333"/>
                <w:sz w:val="21"/>
                <w:szCs w:val="21"/>
              </w:rPr>
            </w:pPr>
            <w:bookmarkStart w:id="1" w:name="OLE_LINK1"/>
            <w:bookmarkStart w:id="2" w:name="OLE_LINK2"/>
            <w:r w:rsidRPr="003D12F4">
              <w:rPr>
                <w:rFonts w:asciiTheme="minorHAnsi" w:hAnsiTheme="minorHAnsi" w:cstheme="minorHAnsi"/>
                <w:b/>
                <w:bCs/>
                <w:color w:val="333333"/>
                <w:sz w:val="21"/>
                <w:szCs w:val="21"/>
              </w:rPr>
              <w:t xml:space="preserve">2.9 </w:t>
            </w:r>
            <w:r w:rsidRPr="00CA0B4F">
              <w:rPr>
                <w:rFonts w:asciiTheme="minorHAnsi" w:hAnsiTheme="minorHAnsi" w:cstheme="minorHAnsi"/>
                <w:b/>
                <w:bCs/>
                <w:color w:val="333333"/>
                <w:sz w:val="21"/>
                <w:szCs w:val="21"/>
                <w:highlight w:val="yellow"/>
              </w:rPr>
              <w:t>Times tables: 7 and patterns within/across times tables</w:t>
            </w:r>
            <w:r w:rsidR="00316DC2" w:rsidRPr="003D12F4">
              <w:rPr>
                <w:rFonts w:asciiTheme="minorHAnsi" w:hAnsiTheme="minorHAnsi" w:cstheme="minorHAnsi"/>
                <w:b/>
                <w:bCs/>
                <w:color w:val="333333"/>
                <w:sz w:val="21"/>
                <w:szCs w:val="21"/>
              </w:rPr>
              <w:t xml:space="preserve"> </w:t>
            </w:r>
            <w:r w:rsidR="00316DC2" w:rsidRPr="003D12F4">
              <w:rPr>
                <w:rFonts w:asciiTheme="minorHAnsi" w:hAnsiTheme="minorHAnsi" w:cstheme="minorHAnsi"/>
                <w:color w:val="333333"/>
                <w:sz w:val="21"/>
                <w:szCs w:val="21"/>
              </w:rPr>
              <w:t>Build up the seven times table and solve associated multiplication and division problems; explore times table patterns including generalising about the product in terms of odd/even factors, reviewing divisibility rules, and exploring square numbers.</w:t>
            </w:r>
          </w:p>
          <w:p w:rsidR="00316DC2" w:rsidRPr="003D12F4" w:rsidRDefault="00316DC2" w:rsidP="003D12F4">
            <w:pPr>
              <w:numPr>
                <w:ilvl w:val="0"/>
                <w:numId w:val="19"/>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1</w:t>
            </w:r>
            <w:r w:rsidRPr="003D12F4">
              <w:rPr>
                <w:rFonts w:asciiTheme="minorHAnsi" w:hAnsiTheme="minorHAnsi" w:cstheme="minorHAnsi"/>
                <w:color w:val="333333"/>
                <w:sz w:val="21"/>
                <w:szCs w:val="21"/>
              </w:rPr>
              <w:t>: Counting in multiples of seven can be represented by the seven times table. Adjacent multiples of seven have a difference of seven. Facts from the seven times table can be used to solve multiplication and division problems with different structures.</w:t>
            </w:r>
          </w:p>
          <w:p w:rsidR="00316DC2" w:rsidRPr="003D12F4" w:rsidRDefault="00316DC2" w:rsidP="003D12F4">
            <w:pPr>
              <w:numPr>
                <w:ilvl w:val="0"/>
                <w:numId w:val="19"/>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2</w:t>
            </w:r>
            <w:r w:rsidRPr="003D12F4">
              <w:rPr>
                <w:rFonts w:asciiTheme="minorHAnsi" w:hAnsiTheme="minorHAnsi" w:cstheme="minorHAnsi"/>
                <w:color w:val="333333"/>
                <w:sz w:val="21"/>
                <w:szCs w:val="21"/>
              </w:rPr>
              <w:t>: When both factors are odd numbers, the product is an odd number; when one factor is an odd number and the other is an even number, the product is an even number; when both factors are even numbers, the product is an even number.</w:t>
            </w:r>
          </w:p>
          <w:p w:rsidR="00316DC2" w:rsidRPr="003D12F4" w:rsidRDefault="00316DC2" w:rsidP="003D12F4">
            <w:pPr>
              <w:numPr>
                <w:ilvl w:val="0"/>
                <w:numId w:val="19"/>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3</w:t>
            </w:r>
            <w:r w:rsidRPr="003D12F4">
              <w:rPr>
                <w:rFonts w:asciiTheme="minorHAnsi" w:hAnsiTheme="minorHAnsi" w:cstheme="minorHAnsi"/>
                <w:color w:val="333333"/>
                <w:sz w:val="21"/>
                <w:szCs w:val="21"/>
              </w:rPr>
              <w:t>: When both factors have the same value, the product is called a square number; square numbers can be represented by objects arranged in square arrays.</w:t>
            </w:r>
          </w:p>
          <w:p w:rsidR="0085309A" w:rsidRPr="003D12F4" w:rsidRDefault="00316DC2" w:rsidP="003D12F4">
            <w:pPr>
              <w:numPr>
                <w:ilvl w:val="0"/>
                <w:numId w:val="19"/>
              </w:numPr>
              <w:spacing w:before="60"/>
              <w:ind w:left="0"/>
              <w:rPr>
                <w:rFonts w:asciiTheme="minorHAnsi" w:hAnsiTheme="minorHAnsi" w:cstheme="minorHAnsi"/>
                <w:color w:val="333333"/>
                <w:sz w:val="21"/>
                <w:szCs w:val="21"/>
              </w:rPr>
            </w:pPr>
            <w:r w:rsidRPr="003D12F4">
              <w:rPr>
                <w:rStyle w:val="Strong"/>
                <w:rFonts w:asciiTheme="minorHAnsi" w:hAnsiTheme="minorHAnsi" w:cstheme="minorHAnsi"/>
                <w:color w:val="333333"/>
                <w:sz w:val="21"/>
                <w:szCs w:val="21"/>
              </w:rPr>
              <w:t>Teaching point 4</w:t>
            </w:r>
            <w:r w:rsidRPr="003D12F4">
              <w:rPr>
                <w:rFonts w:asciiTheme="minorHAnsi" w:hAnsiTheme="minorHAnsi" w:cstheme="minorHAnsi"/>
                <w:color w:val="333333"/>
                <w:sz w:val="21"/>
                <w:szCs w:val="21"/>
              </w:rPr>
              <w:t>: Divisibility rules can be used to find out whether a given number is divisible (to give a whole number) by particular divisors</w:t>
            </w:r>
            <w:bookmarkEnd w:id="1"/>
            <w:bookmarkEnd w:id="2"/>
          </w:p>
        </w:tc>
      </w:tr>
    </w:tbl>
    <w:p w:rsidR="00131928" w:rsidRPr="003D12F4" w:rsidRDefault="00131928" w:rsidP="003D12F4">
      <w:pPr>
        <w:spacing w:before="60"/>
        <w:rPr>
          <w:rFonts w:asciiTheme="minorHAnsi" w:hAnsiTheme="minorHAnsi" w:cstheme="minorHAnsi"/>
          <w:sz w:val="21"/>
          <w:szCs w:val="21"/>
        </w:rPr>
      </w:pPr>
    </w:p>
    <w:sectPr w:rsidR="00131928" w:rsidRPr="003D12F4" w:rsidSect="00A45868">
      <w:headerReference w:type="even" r:id="rId7"/>
      <w:headerReference w:type="default" r:id="rId8"/>
      <w:footerReference w:type="even" r:id="rId9"/>
      <w:footerReference w:type="default" r:id="rId10"/>
      <w:pgSz w:w="16840" w:h="11900" w:orient="landscape"/>
      <w:pgMar w:top="720" w:right="720" w:bottom="720" w:left="720"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B4F" w:rsidRDefault="00CA0B4F" w:rsidP="004F5689">
      <w:r>
        <w:separator/>
      </w:r>
    </w:p>
  </w:endnote>
  <w:endnote w:type="continuationSeparator" w:id="0">
    <w:p w:rsidR="00CA0B4F" w:rsidRDefault="00CA0B4F" w:rsidP="004F5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5082452"/>
      <w:docPartObj>
        <w:docPartGallery w:val="Page Numbers (Bottom of Page)"/>
        <w:docPartUnique/>
      </w:docPartObj>
    </w:sdtPr>
    <w:sdtEndPr>
      <w:rPr>
        <w:rStyle w:val="PageNumber"/>
      </w:rPr>
    </w:sdtEndPr>
    <w:sdtContent>
      <w:p w:rsidR="00B13AC3" w:rsidRDefault="00B13AC3" w:rsidP="00B13A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13AC3" w:rsidRDefault="00B13AC3" w:rsidP="004F56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AC3" w:rsidRDefault="00B13AC3" w:rsidP="004F5689">
    <w:pPr>
      <w:pStyle w:val="Footer"/>
      <w:ind w:right="360"/>
    </w:pPr>
    <w:r>
      <w:tab/>
    </w:r>
    <w:r>
      <w:tab/>
    </w:r>
    <w:r>
      <w:tab/>
    </w:r>
    <w:r>
      <w:tab/>
    </w:r>
    <w:r>
      <w:tab/>
    </w:r>
    <w:r>
      <w:tab/>
    </w:r>
    <w:r>
      <w:rPr>
        <w:rFonts w:ascii="Calibri" w:hAnsi="Calibri" w:cs="Calibri"/>
        <w:noProof/>
        <w:color w:val="000000"/>
        <w:lang w:eastAsia="en-GB"/>
      </w:rPr>
      <w:drawing>
        <wp:inline distT="0" distB="0" distL="0" distR="0" wp14:anchorId="06D8EFD2" wp14:editId="2E5A09FC">
          <wp:extent cx="872234" cy="280889"/>
          <wp:effectExtent l="0" t="0" r="4445" b="0"/>
          <wp:docPr id="2" name="Picture 2" descr="cid:73294b02-32f5-4c19-9d3c-2f71d0804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2716_rs|3" descr="cid:73294b02-32f5-4c19-9d3c-2f71d08047e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903895" cy="2910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B4F" w:rsidRDefault="00CA0B4F" w:rsidP="004F5689">
      <w:r>
        <w:separator/>
      </w:r>
    </w:p>
  </w:footnote>
  <w:footnote w:type="continuationSeparator" w:id="0">
    <w:p w:rsidR="00CA0B4F" w:rsidRDefault="00CA0B4F" w:rsidP="004F5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01040496"/>
      <w:docPartObj>
        <w:docPartGallery w:val="Page Numbers (Top of Page)"/>
        <w:docPartUnique/>
      </w:docPartObj>
    </w:sdtPr>
    <w:sdtEndPr>
      <w:rPr>
        <w:rStyle w:val="PageNumber"/>
      </w:rPr>
    </w:sdtEndPr>
    <w:sdtContent>
      <w:p w:rsidR="00B13AC3" w:rsidRDefault="00B13AC3" w:rsidP="00B13A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335075"/>
      <w:docPartObj>
        <w:docPartGallery w:val="Page Numbers (Top of Page)"/>
        <w:docPartUnique/>
      </w:docPartObj>
    </w:sdtPr>
    <w:sdtEndPr>
      <w:rPr>
        <w:rStyle w:val="PageNumber"/>
      </w:rPr>
    </w:sdtEndPr>
    <w:sdtContent>
      <w:p w:rsidR="00B13AC3" w:rsidRDefault="00B13AC3" w:rsidP="00A519BD">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13AC3" w:rsidRDefault="00B13AC3" w:rsidP="00A519B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1"/>
        <w:szCs w:val="21"/>
      </w:rPr>
      <w:id w:val="-691530941"/>
      <w:docPartObj>
        <w:docPartGallery w:val="Page Numbers (Top of Page)"/>
        <w:docPartUnique/>
      </w:docPartObj>
    </w:sdtPr>
    <w:sdtEndPr>
      <w:rPr>
        <w:rStyle w:val="PageNumber"/>
      </w:rPr>
    </w:sdtEndPr>
    <w:sdtContent>
      <w:p w:rsidR="00B13AC3" w:rsidRPr="003E7B5D" w:rsidRDefault="00B13AC3" w:rsidP="00B13AC3">
        <w:pPr>
          <w:pStyle w:val="Header"/>
          <w:framePr w:wrap="none" w:vAnchor="text" w:hAnchor="margin" w:xAlign="right" w:y="1"/>
          <w:rPr>
            <w:rStyle w:val="PageNumber"/>
            <w:sz w:val="21"/>
            <w:szCs w:val="21"/>
          </w:rPr>
        </w:pPr>
        <w:r w:rsidRPr="003E7B5D">
          <w:rPr>
            <w:rStyle w:val="PageNumber"/>
            <w:sz w:val="21"/>
            <w:szCs w:val="21"/>
          </w:rPr>
          <w:fldChar w:fldCharType="begin"/>
        </w:r>
        <w:r w:rsidRPr="003E7B5D">
          <w:rPr>
            <w:rStyle w:val="PageNumber"/>
            <w:sz w:val="21"/>
            <w:szCs w:val="21"/>
          </w:rPr>
          <w:instrText xml:space="preserve"> PAGE </w:instrText>
        </w:r>
        <w:r w:rsidRPr="003E7B5D">
          <w:rPr>
            <w:rStyle w:val="PageNumber"/>
            <w:sz w:val="21"/>
            <w:szCs w:val="21"/>
          </w:rPr>
          <w:fldChar w:fldCharType="separate"/>
        </w:r>
        <w:r w:rsidR="00B60832">
          <w:rPr>
            <w:rStyle w:val="PageNumber"/>
            <w:noProof/>
            <w:sz w:val="21"/>
            <w:szCs w:val="21"/>
          </w:rPr>
          <w:t>2</w:t>
        </w:r>
        <w:r w:rsidRPr="003E7B5D">
          <w:rPr>
            <w:rStyle w:val="PageNumber"/>
            <w:sz w:val="21"/>
            <w:szCs w:val="21"/>
          </w:rPr>
          <w:fldChar w:fldCharType="end"/>
        </w:r>
      </w:p>
    </w:sdtContent>
  </w:sdt>
  <w:p w:rsidR="00B13AC3" w:rsidRPr="003E7B5D" w:rsidRDefault="00B13AC3" w:rsidP="00A519BD">
    <w:pPr>
      <w:ind w:right="360"/>
      <w:rPr>
        <w:sz w:val="21"/>
        <w:szCs w:val="21"/>
      </w:rPr>
    </w:pPr>
    <w:r w:rsidRPr="003E7B5D">
      <w:rPr>
        <w:sz w:val="21"/>
        <w:szCs w:val="21"/>
      </w:rPr>
      <w:t xml:space="preserve">NCETM  Cross Spine segment sequencing Year </w:t>
    </w:r>
    <w:r>
      <w:rPr>
        <w:sz w:val="21"/>
        <w:szCs w:val="21"/>
      </w:rPr>
      <w:t>3</w:t>
    </w:r>
    <w:r w:rsidRPr="003E7B5D">
      <w:rPr>
        <w:sz w:val="21"/>
        <w:szCs w:val="21"/>
      </w:rPr>
      <w:t xml:space="preserve"> </w:t>
    </w:r>
    <w:hyperlink r:id="rId1" w:history="1">
      <w:r w:rsidRPr="003E7B5D">
        <w:rPr>
          <w:rStyle w:val="Hyperlink"/>
          <w:sz w:val="21"/>
          <w:szCs w:val="21"/>
        </w:rPr>
        <w:t>https://www.ncetm.org.uk/files/109551480/ncetm_primarymasterypd_teaching_sequence.pdf</w:t>
      </w:r>
    </w:hyperlink>
    <w:r w:rsidRPr="003E7B5D">
      <w:rPr>
        <w:sz w:val="21"/>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5A0D"/>
    <w:multiLevelType w:val="multilevel"/>
    <w:tmpl w:val="F570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A7957"/>
    <w:multiLevelType w:val="multilevel"/>
    <w:tmpl w:val="809E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A5976"/>
    <w:multiLevelType w:val="multilevel"/>
    <w:tmpl w:val="8DEE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75209"/>
    <w:multiLevelType w:val="multilevel"/>
    <w:tmpl w:val="C7F6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0212C"/>
    <w:multiLevelType w:val="multilevel"/>
    <w:tmpl w:val="A78C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303E5"/>
    <w:multiLevelType w:val="multilevel"/>
    <w:tmpl w:val="270C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C18D1"/>
    <w:multiLevelType w:val="multilevel"/>
    <w:tmpl w:val="6BB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C07BE"/>
    <w:multiLevelType w:val="multilevel"/>
    <w:tmpl w:val="81DE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77227"/>
    <w:multiLevelType w:val="multilevel"/>
    <w:tmpl w:val="33D2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E6AF7"/>
    <w:multiLevelType w:val="multilevel"/>
    <w:tmpl w:val="CB0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154113"/>
    <w:multiLevelType w:val="multilevel"/>
    <w:tmpl w:val="68B6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830433"/>
    <w:multiLevelType w:val="multilevel"/>
    <w:tmpl w:val="AF42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11DC6"/>
    <w:multiLevelType w:val="multilevel"/>
    <w:tmpl w:val="CFE0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D7C28"/>
    <w:multiLevelType w:val="multilevel"/>
    <w:tmpl w:val="D446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86069E"/>
    <w:multiLevelType w:val="multilevel"/>
    <w:tmpl w:val="2FE2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257F29"/>
    <w:multiLevelType w:val="multilevel"/>
    <w:tmpl w:val="2964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439F6"/>
    <w:multiLevelType w:val="multilevel"/>
    <w:tmpl w:val="C122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7A6E76"/>
    <w:multiLevelType w:val="multilevel"/>
    <w:tmpl w:val="EE2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71A51"/>
    <w:multiLevelType w:val="multilevel"/>
    <w:tmpl w:val="74AC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B7A75"/>
    <w:multiLevelType w:val="multilevel"/>
    <w:tmpl w:val="5E54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8744B4"/>
    <w:multiLevelType w:val="multilevel"/>
    <w:tmpl w:val="C6EE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137B2D"/>
    <w:multiLevelType w:val="multilevel"/>
    <w:tmpl w:val="7874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2B0777"/>
    <w:multiLevelType w:val="multilevel"/>
    <w:tmpl w:val="44E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2459B"/>
    <w:multiLevelType w:val="multilevel"/>
    <w:tmpl w:val="359C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053E2D"/>
    <w:multiLevelType w:val="multilevel"/>
    <w:tmpl w:val="05B8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19"/>
  </w:num>
  <w:num w:numId="4">
    <w:abstractNumId w:val="18"/>
  </w:num>
  <w:num w:numId="5">
    <w:abstractNumId w:val="17"/>
  </w:num>
  <w:num w:numId="6">
    <w:abstractNumId w:val="9"/>
  </w:num>
  <w:num w:numId="7">
    <w:abstractNumId w:val="24"/>
  </w:num>
  <w:num w:numId="8">
    <w:abstractNumId w:val="14"/>
  </w:num>
  <w:num w:numId="9">
    <w:abstractNumId w:val="8"/>
  </w:num>
  <w:num w:numId="10">
    <w:abstractNumId w:val="23"/>
  </w:num>
  <w:num w:numId="11">
    <w:abstractNumId w:val="12"/>
  </w:num>
  <w:num w:numId="12">
    <w:abstractNumId w:val="16"/>
  </w:num>
  <w:num w:numId="13">
    <w:abstractNumId w:val="6"/>
  </w:num>
  <w:num w:numId="14">
    <w:abstractNumId w:val="0"/>
  </w:num>
  <w:num w:numId="15">
    <w:abstractNumId w:val="5"/>
  </w:num>
  <w:num w:numId="16">
    <w:abstractNumId w:val="13"/>
  </w:num>
  <w:num w:numId="17">
    <w:abstractNumId w:val="11"/>
  </w:num>
  <w:num w:numId="18">
    <w:abstractNumId w:val="10"/>
  </w:num>
  <w:num w:numId="19">
    <w:abstractNumId w:val="7"/>
  </w:num>
  <w:num w:numId="20">
    <w:abstractNumId w:val="2"/>
  </w:num>
  <w:num w:numId="21">
    <w:abstractNumId w:val="21"/>
  </w:num>
  <w:num w:numId="22">
    <w:abstractNumId w:val="4"/>
  </w:num>
  <w:num w:numId="23">
    <w:abstractNumId w:val="22"/>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B4F"/>
    <w:rsid w:val="00131928"/>
    <w:rsid w:val="0018218B"/>
    <w:rsid w:val="001A177D"/>
    <w:rsid w:val="001D0AFD"/>
    <w:rsid w:val="002913C5"/>
    <w:rsid w:val="002D38CB"/>
    <w:rsid w:val="002F676D"/>
    <w:rsid w:val="00316DC2"/>
    <w:rsid w:val="00387B01"/>
    <w:rsid w:val="003D12F4"/>
    <w:rsid w:val="003E7B5D"/>
    <w:rsid w:val="004A1BB2"/>
    <w:rsid w:val="004F5689"/>
    <w:rsid w:val="004F6A5F"/>
    <w:rsid w:val="00523A39"/>
    <w:rsid w:val="00563ED3"/>
    <w:rsid w:val="005C3E5F"/>
    <w:rsid w:val="00640B56"/>
    <w:rsid w:val="0069327B"/>
    <w:rsid w:val="006D3824"/>
    <w:rsid w:val="007074D0"/>
    <w:rsid w:val="00816B55"/>
    <w:rsid w:val="0082710E"/>
    <w:rsid w:val="0085309A"/>
    <w:rsid w:val="00956ABE"/>
    <w:rsid w:val="00A232A9"/>
    <w:rsid w:val="00A45868"/>
    <w:rsid w:val="00A519BD"/>
    <w:rsid w:val="00B13AC3"/>
    <w:rsid w:val="00B60832"/>
    <w:rsid w:val="00C22134"/>
    <w:rsid w:val="00CA0B4F"/>
    <w:rsid w:val="00E50674"/>
    <w:rsid w:val="00EE612D"/>
    <w:rsid w:val="00F1667E"/>
    <w:rsid w:val="00F57B7A"/>
    <w:rsid w:val="00F92AE4"/>
    <w:rsid w:val="00FC7200"/>
    <w:rsid w:val="00FD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E6ECEA-0E0E-46C6-A817-3613086E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DC2"/>
    <w:rPr>
      <w:rFonts w:ascii="Times New Roman" w:eastAsia="Times New Roman" w:hAnsi="Times New Roman" w:cs="Times New Roman"/>
    </w:rPr>
  </w:style>
  <w:style w:type="paragraph" w:styleId="Heading1">
    <w:name w:val="heading 1"/>
    <w:basedOn w:val="Normal"/>
    <w:link w:val="Heading1Char"/>
    <w:uiPriority w:val="9"/>
    <w:qFormat/>
    <w:rsid w:val="0013192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1319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1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1928"/>
    <w:rPr>
      <w:b/>
      <w:bCs/>
    </w:rPr>
  </w:style>
  <w:style w:type="character" w:customStyle="1" w:styleId="apple-converted-space">
    <w:name w:val="apple-converted-space"/>
    <w:basedOn w:val="DefaultParagraphFont"/>
    <w:rsid w:val="00131928"/>
  </w:style>
  <w:style w:type="character" w:customStyle="1" w:styleId="Heading1Char">
    <w:name w:val="Heading 1 Char"/>
    <w:basedOn w:val="DefaultParagraphFont"/>
    <w:link w:val="Heading1"/>
    <w:uiPriority w:val="9"/>
    <w:rsid w:val="0013192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3192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F6A5F"/>
    <w:rPr>
      <w:i/>
      <w:iCs/>
    </w:rPr>
  </w:style>
  <w:style w:type="paragraph" w:styleId="Footer">
    <w:name w:val="footer"/>
    <w:basedOn w:val="Normal"/>
    <w:link w:val="FooterChar"/>
    <w:uiPriority w:val="99"/>
    <w:unhideWhenUsed/>
    <w:rsid w:val="004F5689"/>
    <w:pPr>
      <w:tabs>
        <w:tab w:val="center" w:pos="4680"/>
        <w:tab w:val="right" w:pos="9360"/>
      </w:tabs>
    </w:pPr>
  </w:style>
  <w:style w:type="character" w:customStyle="1" w:styleId="FooterChar">
    <w:name w:val="Footer Char"/>
    <w:basedOn w:val="DefaultParagraphFont"/>
    <w:link w:val="Footer"/>
    <w:uiPriority w:val="99"/>
    <w:rsid w:val="004F5689"/>
  </w:style>
  <w:style w:type="character" w:styleId="PageNumber">
    <w:name w:val="page number"/>
    <w:basedOn w:val="DefaultParagraphFont"/>
    <w:uiPriority w:val="99"/>
    <w:semiHidden/>
    <w:unhideWhenUsed/>
    <w:rsid w:val="004F5689"/>
  </w:style>
  <w:style w:type="paragraph" w:styleId="Header">
    <w:name w:val="header"/>
    <w:basedOn w:val="Normal"/>
    <w:link w:val="HeaderChar"/>
    <w:uiPriority w:val="99"/>
    <w:unhideWhenUsed/>
    <w:rsid w:val="00A519BD"/>
    <w:pPr>
      <w:tabs>
        <w:tab w:val="center" w:pos="4680"/>
        <w:tab w:val="right" w:pos="9360"/>
      </w:tabs>
    </w:pPr>
  </w:style>
  <w:style w:type="character" w:customStyle="1" w:styleId="HeaderChar">
    <w:name w:val="Header Char"/>
    <w:basedOn w:val="DefaultParagraphFont"/>
    <w:link w:val="Header"/>
    <w:uiPriority w:val="99"/>
    <w:rsid w:val="00A519BD"/>
  </w:style>
  <w:style w:type="character" w:styleId="Hyperlink">
    <w:name w:val="Hyperlink"/>
    <w:basedOn w:val="DefaultParagraphFont"/>
    <w:uiPriority w:val="99"/>
    <w:unhideWhenUsed/>
    <w:rsid w:val="00A519BD"/>
    <w:rPr>
      <w:color w:val="0563C1" w:themeColor="hyperlink"/>
      <w:u w:val="single"/>
    </w:rPr>
  </w:style>
  <w:style w:type="character" w:customStyle="1" w:styleId="UnresolvedMention">
    <w:name w:val="Unresolved Mention"/>
    <w:basedOn w:val="DefaultParagraphFont"/>
    <w:uiPriority w:val="99"/>
    <w:semiHidden/>
    <w:unhideWhenUsed/>
    <w:rsid w:val="00A519BD"/>
    <w:rPr>
      <w:color w:val="605E5C"/>
      <w:shd w:val="clear" w:color="auto" w:fill="E1DFDD"/>
    </w:rPr>
  </w:style>
  <w:style w:type="paragraph" w:styleId="NoSpacing">
    <w:name w:val="No Spacing"/>
    <w:uiPriority w:val="1"/>
    <w:qFormat/>
    <w:rsid w:val="003E7B5D"/>
    <w:rPr>
      <w:rFonts w:eastAsiaTheme="minorEastAsia"/>
      <w:sz w:val="22"/>
      <w:szCs w:val="22"/>
      <w:lang w:val="en-US" w:eastAsia="zh-CN"/>
    </w:rPr>
  </w:style>
  <w:style w:type="paragraph" w:styleId="NormalWeb">
    <w:name w:val="Normal (Web)"/>
    <w:basedOn w:val="Normal"/>
    <w:uiPriority w:val="99"/>
    <w:unhideWhenUsed/>
    <w:rsid w:val="00316DC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4199">
      <w:bodyDiv w:val="1"/>
      <w:marLeft w:val="0"/>
      <w:marRight w:val="0"/>
      <w:marTop w:val="0"/>
      <w:marBottom w:val="0"/>
      <w:divBdr>
        <w:top w:val="none" w:sz="0" w:space="0" w:color="auto"/>
        <w:left w:val="none" w:sz="0" w:space="0" w:color="auto"/>
        <w:bottom w:val="none" w:sz="0" w:space="0" w:color="auto"/>
        <w:right w:val="none" w:sz="0" w:space="0" w:color="auto"/>
      </w:divBdr>
    </w:div>
    <w:div w:id="30496379">
      <w:bodyDiv w:val="1"/>
      <w:marLeft w:val="0"/>
      <w:marRight w:val="0"/>
      <w:marTop w:val="0"/>
      <w:marBottom w:val="0"/>
      <w:divBdr>
        <w:top w:val="none" w:sz="0" w:space="0" w:color="auto"/>
        <w:left w:val="none" w:sz="0" w:space="0" w:color="auto"/>
        <w:bottom w:val="none" w:sz="0" w:space="0" w:color="auto"/>
        <w:right w:val="none" w:sz="0" w:space="0" w:color="auto"/>
      </w:divBdr>
      <w:divsChild>
        <w:div w:id="309598153">
          <w:marLeft w:val="0"/>
          <w:marRight w:val="0"/>
          <w:marTop w:val="0"/>
          <w:marBottom w:val="0"/>
          <w:divBdr>
            <w:top w:val="none" w:sz="0" w:space="0" w:color="auto"/>
            <w:left w:val="none" w:sz="0" w:space="0" w:color="auto"/>
            <w:bottom w:val="none" w:sz="0" w:space="0" w:color="auto"/>
            <w:right w:val="none" w:sz="0" w:space="0" w:color="auto"/>
          </w:divBdr>
        </w:div>
      </w:divsChild>
    </w:div>
    <w:div w:id="93132303">
      <w:bodyDiv w:val="1"/>
      <w:marLeft w:val="0"/>
      <w:marRight w:val="0"/>
      <w:marTop w:val="0"/>
      <w:marBottom w:val="0"/>
      <w:divBdr>
        <w:top w:val="none" w:sz="0" w:space="0" w:color="auto"/>
        <w:left w:val="none" w:sz="0" w:space="0" w:color="auto"/>
        <w:bottom w:val="none" w:sz="0" w:space="0" w:color="auto"/>
        <w:right w:val="none" w:sz="0" w:space="0" w:color="auto"/>
      </w:divBdr>
    </w:div>
    <w:div w:id="123929990">
      <w:bodyDiv w:val="1"/>
      <w:marLeft w:val="0"/>
      <w:marRight w:val="0"/>
      <w:marTop w:val="0"/>
      <w:marBottom w:val="0"/>
      <w:divBdr>
        <w:top w:val="none" w:sz="0" w:space="0" w:color="auto"/>
        <w:left w:val="none" w:sz="0" w:space="0" w:color="auto"/>
        <w:bottom w:val="none" w:sz="0" w:space="0" w:color="auto"/>
        <w:right w:val="none" w:sz="0" w:space="0" w:color="auto"/>
      </w:divBdr>
    </w:div>
    <w:div w:id="184557460">
      <w:bodyDiv w:val="1"/>
      <w:marLeft w:val="0"/>
      <w:marRight w:val="0"/>
      <w:marTop w:val="0"/>
      <w:marBottom w:val="0"/>
      <w:divBdr>
        <w:top w:val="none" w:sz="0" w:space="0" w:color="auto"/>
        <w:left w:val="none" w:sz="0" w:space="0" w:color="auto"/>
        <w:bottom w:val="none" w:sz="0" w:space="0" w:color="auto"/>
        <w:right w:val="none" w:sz="0" w:space="0" w:color="auto"/>
      </w:divBdr>
      <w:divsChild>
        <w:div w:id="427820660">
          <w:marLeft w:val="0"/>
          <w:marRight w:val="0"/>
          <w:marTop w:val="0"/>
          <w:marBottom w:val="0"/>
          <w:divBdr>
            <w:top w:val="none" w:sz="0" w:space="0" w:color="auto"/>
            <w:left w:val="none" w:sz="0" w:space="0" w:color="auto"/>
            <w:bottom w:val="none" w:sz="0" w:space="0" w:color="auto"/>
            <w:right w:val="none" w:sz="0" w:space="0" w:color="auto"/>
          </w:divBdr>
        </w:div>
      </w:divsChild>
    </w:div>
    <w:div w:id="201019121">
      <w:bodyDiv w:val="1"/>
      <w:marLeft w:val="0"/>
      <w:marRight w:val="0"/>
      <w:marTop w:val="0"/>
      <w:marBottom w:val="0"/>
      <w:divBdr>
        <w:top w:val="none" w:sz="0" w:space="0" w:color="auto"/>
        <w:left w:val="none" w:sz="0" w:space="0" w:color="auto"/>
        <w:bottom w:val="none" w:sz="0" w:space="0" w:color="auto"/>
        <w:right w:val="none" w:sz="0" w:space="0" w:color="auto"/>
      </w:divBdr>
    </w:div>
    <w:div w:id="252935981">
      <w:bodyDiv w:val="1"/>
      <w:marLeft w:val="0"/>
      <w:marRight w:val="0"/>
      <w:marTop w:val="0"/>
      <w:marBottom w:val="0"/>
      <w:divBdr>
        <w:top w:val="none" w:sz="0" w:space="0" w:color="auto"/>
        <w:left w:val="none" w:sz="0" w:space="0" w:color="auto"/>
        <w:bottom w:val="none" w:sz="0" w:space="0" w:color="auto"/>
        <w:right w:val="none" w:sz="0" w:space="0" w:color="auto"/>
      </w:divBdr>
    </w:div>
    <w:div w:id="261956980">
      <w:bodyDiv w:val="1"/>
      <w:marLeft w:val="0"/>
      <w:marRight w:val="0"/>
      <w:marTop w:val="0"/>
      <w:marBottom w:val="0"/>
      <w:divBdr>
        <w:top w:val="none" w:sz="0" w:space="0" w:color="auto"/>
        <w:left w:val="none" w:sz="0" w:space="0" w:color="auto"/>
        <w:bottom w:val="none" w:sz="0" w:space="0" w:color="auto"/>
        <w:right w:val="none" w:sz="0" w:space="0" w:color="auto"/>
      </w:divBdr>
      <w:divsChild>
        <w:div w:id="585263972">
          <w:marLeft w:val="0"/>
          <w:marRight w:val="0"/>
          <w:marTop w:val="0"/>
          <w:marBottom w:val="0"/>
          <w:divBdr>
            <w:top w:val="none" w:sz="0" w:space="0" w:color="auto"/>
            <w:left w:val="none" w:sz="0" w:space="0" w:color="auto"/>
            <w:bottom w:val="none" w:sz="0" w:space="0" w:color="auto"/>
            <w:right w:val="none" w:sz="0" w:space="0" w:color="auto"/>
          </w:divBdr>
        </w:div>
      </w:divsChild>
    </w:div>
    <w:div w:id="370613128">
      <w:bodyDiv w:val="1"/>
      <w:marLeft w:val="0"/>
      <w:marRight w:val="0"/>
      <w:marTop w:val="0"/>
      <w:marBottom w:val="0"/>
      <w:divBdr>
        <w:top w:val="none" w:sz="0" w:space="0" w:color="auto"/>
        <w:left w:val="none" w:sz="0" w:space="0" w:color="auto"/>
        <w:bottom w:val="none" w:sz="0" w:space="0" w:color="auto"/>
        <w:right w:val="none" w:sz="0" w:space="0" w:color="auto"/>
      </w:divBdr>
    </w:div>
    <w:div w:id="379482191">
      <w:bodyDiv w:val="1"/>
      <w:marLeft w:val="0"/>
      <w:marRight w:val="0"/>
      <w:marTop w:val="0"/>
      <w:marBottom w:val="0"/>
      <w:divBdr>
        <w:top w:val="none" w:sz="0" w:space="0" w:color="auto"/>
        <w:left w:val="none" w:sz="0" w:space="0" w:color="auto"/>
        <w:bottom w:val="none" w:sz="0" w:space="0" w:color="auto"/>
        <w:right w:val="none" w:sz="0" w:space="0" w:color="auto"/>
      </w:divBdr>
    </w:div>
    <w:div w:id="385761517">
      <w:bodyDiv w:val="1"/>
      <w:marLeft w:val="0"/>
      <w:marRight w:val="0"/>
      <w:marTop w:val="0"/>
      <w:marBottom w:val="0"/>
      <w:divBdr>
        <w:top w:val="none" w:sz="0" w:space="0" w:color="auto"/>
        <w:left w:val="none" w:sz="0" w:space="0" w:color="auto"/>
        <w:bottom w:val="none" w:sz="0" w:space="0" w:color="auto"/>
        <w:right w:val="none" w:sz="0" w:space="0" w:color="auto"/>
      </w:divBdr>
    </w:div>
    <w:div w:id="503282793">
      <w:bodyDiv w:val="1"/>
      <w:marLeft w:val="0"/>
      <w:marRight w:val="0"/>
      <w:marTop w:val="0"/>
      <w:marBottom w:val="0"/>
      <w:divBdr>
        <w:top w:val="none" w:sz="0" w:space="0" w:color="auto"/>
        <w:left w:val="none" w:sz="0" w:space="0" w:color="auto"/>
        <w:bottom w:val="none" w:sz="0" w:space="0" w:color="auto"/>
        <w:right w:val="none" w:sz="0" w:space="0" w:color="auto"/>
      </w:divBdr>
    </w:div>
    <w:div w:id="671103286">
      <w:bodyDiv w:val="1"/>
      <w:marLeft w:val="0"/>
      <w:marRight w:val="0"/>
      <w:marTop w:val="0"/>
      <w:marBottom w:val="0"/>
      <w:divBdr>
        <w:top w:val="none" w:sz="0" w:space="0" w:color="auto"/>
        <w:left w:val="none" w:sz="0" w:space="0" w:color="auto"/>
        <w:bottom w:val="none" w:sz="0" w:space="0" w:color="auto"/>
        <w:right w:val="none" w:sz="0" w:space="0" w:color="auto"/>
      </w:divBdr>
    </w:div>
    <w:div w:id="697658361">
      <w:bodyDiv w:val="1"/>
      <w:marLeft w:val="0"/>
      <w:marRight w:val="0"/>
      <w:marTop w:val="0"/>
      <w:marBottom w:val="0"/>
      <w:divBdr>
        <w:top w:val="none" w:sz="0" w:space="0" w:color="auto"/>
        <w:left w:val="none" w:sz="0" w:space="0" w:color="auto"/>
        <w:bottom w:val="none" w:sz="0" w:space="0" w:color="auto"/>
        <w:right w:val="none" w:sz="0" w:space="0" w:color="auto"/>
      </w:divBdr>
      <w:divsChild>
        <w:div w:id="560559587">
          <w:marLeft w:val="0"/>
          <w:marRight w:val="0"/>
          <w:marTop w:val="0"/>
          <w:marBottom w:val="0"/>
          <w:divBdr>
            <w:top w:val="none" w:sz="0" w:space="0" w:color="auto"/>
            <w:left w:val="none" w:sz="0" w:space="0" w:color="auto"/>
            <w:bottom w:val="none" w:sz="0" w:space="0" w:color="auto"/>
            <w:right w:val="none" w:sz="0" w:space="0" w:color="auto"/>
          </w:divBdr>
        </w:div>
      </w:divsChild>
    </w:div>
    <w:div w:id="854080516">
      <w:bodyDiv w:val="1"/>
      <w:marLeft w:val="0"/>
      <w:marRight w:val="0"/>
      <w:marTop w:val="0"/>
      <w:marBottom w:val="0"/>
      <w:divBdr>
        <w:top w:val="none" w:sz="0" w:space="0" w:color="auto"/>
        <w:left w:val="none" w:sz="0" w:space="0" w:color="auto"/>
        <w:bottom w:val="none" w:sz="0" w:space="0" w:color="auto"/>
        <w:right w:val="none" w:sz="0" w:space="0" w:color="auto"/>
      </w:divBdr>
    </w:div>
    <w:div w:id="870806429">
      <w:bodyDiv w:val="1"/>
      <w:marLeft w:val="0"/>
      <w:marRight w:val="0"/>
      <w:marTop w:val="0"/>
      <w:marBottom w:val="0"/>
      <w:divBdr>
        <w:top w:val="none" w:sz="0" w:space="0" w:color="auto"/>
        <w:left w:val="none" w:sz="0" w:space="0" w:color="auto"/>
        <w:bottom w:val="none" w:sz="0" w:space="0" w:color="auto"/>
        <w:right w:val="none" w:sz="0" w:space="0" w:color="auto"/>
      </w:divBdr>
    </w:div>
    <w:div w:id="873926101">
      <w:bodyDiv w:val="1"/>
      <w:marLeft w:val="0"/>
      <w:marRight w:val="0"/>
      <w:marTop w:val="0"/>
      <w:marBottom w:val="0"/>
      <w:divBdr>
        <w:top w:val="none" w:sz="0" w:space="0" w:color="auto"/>
        <w:left w:val="none" w:sz="0" w:space="0" w:color="auto"/>
        <w:bottom w:val="none" w:sz="0" w:space="0" w:color="auto"/>
        <w:right w:val="none" w:sz="0" w:space="0" w:color="auto"/>
      </w:divBdr>
    </w:div>
    <w:div w:id="908422354">
      <w:bodyDiv w:val="1"/>
      <w:marLeft w:val="0"/>
      <w:marRight w:val="0"/>
      <w:marTop w:val="0"/>
      <w:marBottom w:val="0"/>
      <w:divBdr>
        <w:top w:val="none" w:sz="0" w:space="0" w:color="auto"/>
        <w:left w:val="none" w:sz="0" w:space="0" w:color="auto"/>
        <w:bottom w:val="none" w:sz="0" w:space="0" w:color="auto"/>
        <w:right w:val="none" w:sz="0" w:space="0" w:color="auto"/>
      </w:divBdr>
      <w:divsChild>
        <w:div w:id="436800381">
          <w:marLeft w:val="0"/>
          <w:marRight w:val="0"/>
          <w:marTop w:val="0"/>
          <w:marBottom w:val="0"/>
          <w:divBdr>
            <w:top w:val="none" w:sz="0" w:space="0" w:color="auto"/>
            <w:left w:val="none" w:sz="0" w:space="0" w:color="auto"/>
            <w:bottom w:val="none" w:sz="0" w:space="0" w:color="auto"/>
            <w:right w:val="none" w:sz="0" w:space="0" w:color="auto"/>
          </w:divBdr>
        </w:div>
      </w:divsChild>
    </w:div>
    <w:div w:id="1048920923">
      <w:bodyDiv w:val="1"/>
      <w:marLeft w:val="0"/>
      <w:marRight w:val="0"/>
      <w:marTop w:val="0"/>
      <w:marBottom w:val="0"/>
      <w:divBdr>
        <w:top w:val="none" w:sz="0" w:space="0" w:color="auto"/>
        <w:left w:val="none" w:sz="0" w:space="0" w:color="auto"/>
        <w:bottom w:val="none" w:sz="0" w:space="0" w:color="auto"/>
        <w:right w:val="none" w:sz="0" w:space="0" w:color="auto"/>
      </w:divBdr>
    </w:div>
    <w:div w:id="1079911141">
      <w:bodyDiv w:val="1"/>
      <w:marLeft w:val="0"/>
      <w:marRight w:val="0"/>
      <w:marTop w:val="0"/>
      <w:marBottom w:val="0"/>
      <w:divBdr>
        <w:top w:val="none" w:sz="0" w:space="0" w:color="auto"/>
        <w:left w:val="none" w:sz="0" w:space="0" w:color="auto"/>
        <w:bottom w:val="none" w:sz="0" w:space="0" w:color="auto"/>
        <w:right w:val="none" w:sz="0" w:space="0" w:color="auto"/>
      </w:divBdr>
    </w:div>
    <w:div w:id="1095128411">
      <w:bodyDiv w:val="1"/>
      <w:marLeft w:val="0"/>
      <w:marRight w:val="0"/>
      <w:marTop w:val="0"/>
      <w:marBottom w:val="0"/>
      <w:divBdr>
        <w:top w:val="none" w:sz="0" w:space="0" w:color="auto"/>
        <w:left w:val="none" w:sz="0" w:space="0" w:color="auto"/>
        <w:bottom w:val="none" w:sz="0" w:space="0" w:color="auto"/>
        <w:right w:val="none" w:sz="0" w:space="0" w:color="auto"/>
      </w:divBdr>
    </w:div>
    <w:div w:id="1105492651">
      <w:bodyDiv w:val="1"/>
      <w:marLeft w:val="0"/>
      <w:marRight w:val="0"/>
      <w:marTop w:val="0"/>
      <w:marBottom w:val="0"/>
      <w:divBdr>
        <w:top w:val="none" w:sz="0" w:space="0" w:color="auto"/>
        <w:left w:val="none" w:sz="0" w:space="0" w:color="auto"/>
        <w:bottom w:val="none" w:sz="0" w:space="0" w:color="auto"/>
        <w:right w:val="none" w:sz="0" w:space="0" w:color="auto"/>
      </w:divBdr>
      <w:divsChild>
        <w:div w:id="2088455585">
          <w:marLeft w:val="0"/>
          <w:marRight w:val="0"/>
          <w:marTop w:val="0"/>
          <w:marBottom w:val="0"/>
          <w:divBdr>
            <w:top w:val="none" w:sz="0" w:space="0" w:color="auto"/>
            <w:left w:val="none" w:sz="0" w:space="0" w:color="auto"/>
            <w:bottom w:val="none" w:sz="0" w:space="0" w:color="auto"/>
            <w:right w:val="none" w:sz="0" w:space="0" w:color="auto"/>
          </w:divBdr>
        </w:div>
      </w:divsChild>
    </w:div>
    <w:div w:id="1109353068">
      <w:bodyDiv w:val="1"/>
      <w:marLeft w:val="0"/>
      <w:marRight w:val="0"/>
      <w:marTop w:val="0"/>
      <w:marBottom w:val="0"/>
      <w:divBdr>
        <w:top w:val="none" w:sz="0" w:space="0" w:color="auto"/>
        <w:left w:val="none" w:sz="0" w:space="0" w:color="auto"/>
        <w:bottom w:val="none" w:sz="0" w:space="0" w:color="auto"/>
        <w:right w:val="none" w:sz="0" w:space="0" w:color="auto"/>
      </w:divBdr>
    </w:div>
    <w:div w:id="1135759975">
      <w:bodyDiv w:val="1"/>
      <w:marLeft w:val="0"/>
      <w:marRight w:val="0"/>
      <w:marTop w:val="0"/>
      <w:marBottom w:val="0"/>
      <w:divBdr>
        <w:top w:val="none" w:sz="0" w:space="0" w:color="auto"/>
        <w:left w:val="none" w:sz="0" w:space="0" w:color="auto"/>
        <w:bottom w:val="none" w:sz="0" w:space="0" w:color="auto"/>
        <w:right w:val="none" w:sz="0" w:space="0" w:color="auto"/>
      </w:divBdr>
    </w:div>
    <w:div w:id="1148593511">
      <w:bodyDiv w:val="1"/>
      <w:marLeft w:val="0"/>
      <w:marRight w:val="0"/>
      <w:marTop w:val="0"/>
      <w:marBottom w:val="0"/>
      <w:divBdr>
        <w:top w:val="none" w:sz="0" w:space="0" w:color="auto"/>
        <w:left w:val="none" w:sz="0" w:space="0" w:color="auto"/>
        <w:bottom w:val="none" w:sz="0" w:space="0" w:color="auto"/>
        <w:right w:val="none" w:sz="0" w:space="0" w:color="auto"/>
      </w:divBdr>
      <w:divsChild>
        <w:div w:id="987513092">
          <w:marLeft w:val="0"/>
          <w:marRight w:val="0"/>
          <w:marTop w:val="0"/>
          <w:marBottom w:val="0"/>
          <w:divBdr>
            <w:top w:val="none" w:sz="0" w:space="0" w:color="auto"/>
            <w:left w:val="none" w:sz="0" w:space="0" w:color="auto"/>
            <w:bottom w:val="none" w:sz="0" w:space="0" w:color="auto"/>
            <w:right w:val="none" w:sz="0" w:space="0" w:color="auto"/>
          </w:divBdr>
        </w:div>
      </w:divsChild>
    </w:div>
    <w:div w:id="1207135456">
      <w:bodyDiv w:val="1"/>
      <w:marLeft w:val="0"/>
      <w:marRight w:val="0"/>
      <w:marTop w:val="0"/>
      <w:marBottom w:val="0"/>
      <w:divBdr>
        <w:top w:val="none" w:sz="0" w:space="0" w:color="auto"/>
        <w:left w:val="none" w:sz="0" w:space="0" w:color="auto"/>
        <w:bottom w:val="none" w:sz="0" w:space="0" w:color="auto"/>
        <w:right w:val="none" w:sz="0" w:space="0" w:color="auto"/>
      </w:divBdr>
    </w:div>
    <w:div w:id="1235508604">
      <w:bodyDiv w:val="1"/>
      <w:marLeft w:val="0"/>
      <w:marRight w:val="0"/>
      <w:marTop w:val="0"/>
      <w:marBottom w:val="0"/>
      <w:divBdr>
        <w:top w:val="none" w:sz="0" w:space="0" w:color="auto"/>
        <w:left w:val="none" w:sz="0" w:space="0" w:color="auto"/>
        <w:bottom w:val="none" w:sz="0" w:space="0" w:color="auto"/>
        <w:right w:val="none" w:sz="0" w:space="0" w:color="auto"/>
      </w:divBdr>
    </w:div>
    <w:div w:id="1247572642">
      <w:bodyDiv w:val="1"/>
      <w:marLeft w:val="0"/>
      <w:marRight w:val="0"/>
      <w:marTop w:val="0"/>
      <w:marBottom w:val="0"/>
      <w:divBdr>
        <w:top w:val="none" w:sz="0" w:space="0" w:color="auto"/>
        <w:left w:val="none" w:sz="0" w:space="0" w:color="auto"/>
        <w:bottom w:val="none" w:sz="0" w:space="0" w:color="auto"/>
        <w:right w:val="none" w:sz="0" w:space="0" w:color="auto"/>
      </w:divBdr>
    </w:div>
    <w:div w:id="1256983812">
      <w:bodyDiv w:val="1"/>
      <w:marLeft w:val="0"/>
      <w:marRight w:val="0"/>
      <w:marTop w:val="0"/>
      <w:marBottom w:val="0"/>
      <w:divBdr>
        <w:top w:val="none" w:sz="0" w:space="0" w:color="auto"/>
        <w:left w:val="none" w:sz="0" w:space="0" w:color="auto"/>
        <w:bottom w:val="none" w:sz="0" w:space="0" w:color="auto"/>
        <w:right w:val="none" w:sz="0" w:space="0" w:color="auto"/>
      </w:divBdr>
    </w:div>
    <w:div w:id="1269317372">
      <w:bodyDiv w:val="1"/>
      <w:marLeft w:val="0"/>
      <w:marRight w:val="0"/>
      <w:marTop w:val="0"/>
      <w:marBottom w:val="0"/>
      <w:divBdr>
        <w:top w:val="none" w:sz="0" w:space="0" w:color="auto"/>
        <w:left w:val="none" w:sz="0" w:space="0" w:color="auto"/>
        <w:bottom w:val="none" w:sz="0" w:space="0" w:color="auto"/>
        <w:right w:val="none" w:sz="0" w:space="0" w:color="auto"/>
      </w:divBdr>
    </w:div>
    <w:div w:id="1270117676">
      <w:bodyDiv w:val="1"/>
      <w:marLeft w:val="0"/>
      <w:marRight w:val="0"/>
      <w:marTop w:val="0"/>
      <w:marBottom w:val="0"/>
      <w:divBdr>
        <w:top w:val="none" w:sz="0" w:space="0" w:color="auto"/>
        <w:left w:val="none" w:sz="0" w:space="0" w:color="auto"/>
        <w:bottom w:val="none" w:sz="0" w:space="0" w:color="auto"/>
        <w:right w:val="none" w:sz="0" w:space="0" w:color="auto"/>
      </w:divBdr>
    </w:div>
    <w:div w:id="1299798645">
      <w:bodyDiv w:val="1"/>
      <w:marLeft w:val="0"/>
      <w:marRight w:val="0"/>
      <w:marTop w:val="0"/>
      <w:marBottom w:val="0"/>
      <w:divBdr>
        <w:top w:val="none" w:sz="0" w:space="0" w:color="auto"/>
        <w:left w:val="none" w:sz="0" w:space="0" w:color="auto"/>
        <w:bottom w:val="none" w:sz="0" w:space="0" w:color="auto"/>
        <w:right w:val="none" w:sz="0" w:space="0" w:color="auto"/>
      </w:divBdr>
    </w:div>
    <w:div w:id="1308583863">
      <w:bodyDiv w:val="1"/>
      <w:marLeft w:val="0"/>
      <w:marRight w:val="0"/>
      <w:marTop w:val="0"/>
      <w:marBottom w:val="0"/>
      <w:divBdr>
        <w:top w:val="none" w:sz="0" w:space="0" w:color="auto"/>
        <w:left w:val="none" w:sz="0" w:space="0" w:color="auto"/>
        <w:bottom w:val="none" w:sz="0" w:space="0" w:color="auto"/>
        <w:right w:val="none" w:sz="0" w:space="0" w:color="auto"/>
      </w:divBdr>
    </w:div>
    <w:div w:id="1315256377">
      <w:bodyDiv w:val="1"/>
      <w:marLeft w:val="0"/>
      <w:marRight w:val="0"/>
      <w:marTop w:val="0"/>
      <w:marBottom w:val="0"/>
      <w:divBdr>
        <w:top w:val="none" w:sz="0" w:space="0" w:color="auto"/>
        <w:left w:val="none" w:sz="0" w:space="0" w:color="auto"/>
        <w:bottom w:val="none" w:sz="0" w:space="0" w:color="auto"/>
        <w:right w:val="none" w:sz="0" w:space="0" w:color="auto"/>
      </w:divBdr>
    </w:div>
    <w:div w:id="1321739425">
      <w:bodyDiv w:val="1"/>
      <w:marLeft w:val="0"/>
      <w:marRight w:val="0"/>
      <w:marTop w:val="0"/>
      <w:marBottom w:val="0"/>
      <w:divBdr>
        <w:top w:val="none" w:sz="0" w:space="0" w:color="auto"/>
        <w:left w:val="none" w:sz="0" w:space="0" w:color="auto"/>
        <w:bottom w:val="none" w:sz="0" w:space="0" w:color="auto"/>
        <w:right w:val="none" w:sz="0" w:space="0" w:color="auto"/>
      </w:divBdr>
    </w:div>
    <w:div w:id="1402173001">
      <w:bodyDiv w:val="1"/>
      <w:marLeft w:val="0"/>
      <w:marRight w:val="0"/>
      <w:marTop w:val="0"/>
      <w:marBottom w:val="0"/>
      <w:divBdr>
        <w:top w:val="none" w:sz="0" w:space="0" w:color="auto"/>
        <w:left w:val="none" w:sz="0" w:space="0" w:color="auto"/>
        <w:bottom w:val="none" w:sz="0" w:space="0" w:color="auto"/>
        <w:right w:val="none" w:sz="0" w:space="0" w:color="auto"/>
      </w:divBdr>
    </w:div>
    <w:div w:id="1447773423">
      <w:bodyDiv w:val="1"/>
      <w:marLeft w:val="0"/>
      <w:marRight w:val="0"/>
      <w:marTop w:val="0"/>
      <w:marBottom w:val="0"/>
      <w:divBdr>
        <w:top w:val="none" w:sz="0" w:space="0" w:color="auto"/>
        <w:left w:val="none" w:sz="0" w:space="0" w:color="auto"/>
        <w:bottom w:val="none" w:sz="0" w:space="0" w:color="auto"/>
        <w:right w:val="none" w:sz="0" w:space="0" w:color="auto"/>
      </w:divBdr>
    </w:div>
    <w:div w:id="1528106243">
      <w:bodyDiv w:val="1"/>
      <w:marLeft w:val="0"/>
      <w:marRight w:val="0"/>
      <w:marTop w:val="0"/>
      <w:marBottom w:val="0"/>
      <w:divBdr>
        <w:top w:val="none" w:sz="0" w:space="0" w:color="auto"/>
        <w:left w:val="none" w:sz="0" w:space="0" w:color="auto"/>
        <w:bottom w:val="none" w:sz="0" w:space="0" w:color="auto"/>
        <w:right w:val="none" w:sz="0" w:space="0" w:color="auto"/>
      </w:divBdr>
    </w:div>
    <w:div w:id="1588077217">
      <w:bodyDiv w:val="1"/>
      <w:marLeft w:val="0"/>
      <w:marRight w:val="0"/>
      <w:marTop w:val="0"/>
      <w:marBottom w:val="0"/>
      <w:divBdr>
        <w:top w:val="none" w:sz="0" w:space="0" w:color="auto"/>
        <w:left w:val="none" w:sz="0" w:space="0" w:color="auto"/>
        <w:bottom w:val="none" w:sz="0" w:space="0" w:color="auto"/>
        <w:right w:val="none" w:sz="0" w:space="0" w:color="auto"/>
      </w:divBdr>
    </w:div>
    <w:div w:id="1605727239">
      <w:bodyDiv w:val="1"/>
      <w:marLeft w:val="0"/>
      <w:marRight w:val="0"/>
      <w:marTop w:val="0"/>
      <w:marBottom w:val="0"/>
      <w:divBdr>
        <w:top w:val="none" w:sz="0" w:space="0" w:color="auto"/>
        <w:left w:val="none" w:sz="0" w:space="0" w:color="auto"/>
        <w:bottom w:val="none" w:sz="0" w:space="0" w:color="auto"/>
        <w:right w:val="none" w:sz="0" w:space="0" w:color="auto"/>
      </w:divBdr>
    </w:div>
    <w:div w:id="1733775651">
      <w:bodyDiv w:val="1"/>
      <w:marLeft w:val="0"/>
      <w:marRight w:val="0"/>
      <w:marTop w:val="0"/>
      <w:marBottom w:val="0"/>
      <w:divBdr>
        <w:top w:val="none" w:sz="0" w:space="0" w:color="auto"/>
        <w:left w:val="none" w:sz="0" w:space="0" w:color="auto"/>
        <w:bottom w:val="none" w:sz="0" w:space="0" w:color="auto"/>
        <w:right w:val="none" w:sz="0" w:space="0" w:color="auto"/>
      </w:divBdr>
    </w:div>
    <w:div w:id="1739134265">
      <w:bodyDiv w:val="1"/>
      <w:marLeft w:val="0"/>
      <w:marRight w:val="0"/>
      <w:marTop w:val="0"/>
      <w:marBottom w:val="0"/>
      <w:divBdr>
        <w:top w:val="none" w:sz="0" w:space="0" w:color="auto"/>
        <w:left w:val="none" w:sz="0" w:space="0" w:color="auto"/>
        <w:bottom w:val="none" w:sz="0" w:space="0" w:color="auto"/>
        <w:right w:val="none" w:sz="0" w:space="0" w:color="auto"/>
      </w:divBdr>
    </w:div>
    <w:div w:id="1780442455">
      <w:bodyDiv w:val="1"/>
      <w:marLeft w:val="0"/>
      <w:marRight w:val="0"/>
      <w:marTop w:val="0"/>
      <w:marBottom w:val="0"/>
      <w:divBdr>
        <w:top w:val="none" w:sz="0" w:space="0" w:color="auto"/>
        <w:left w:val="none" w:sz="0" w:space="0" w:color="auto"/>
        <w:bottom w:val="none" w:sz="0" w:space="0" w:color="auto"/>
        <w:right w:val="none" w:sz="0" w:space="0" w:color="auto"/>
      </w:divBdr>
      <w:divsChild>
        <w:div w:id="628168184">
          <w:marLeft w:val="0"/>
          <w:marRight w:val="0"/>
          <w:marTop w:val="0"/>
          <w:marBottom w:val="0"/>
          <w:divBdr>
            <w:top w:val="none" w:sz="0" w:space="0" w:color="auto"/>
            <w:left w:val="none" w:sz="0" w:space="0" w:color="auto"/>
            <w:bottom w:val="none" w:sz="0" w:space="0" w:color="auto"/>
            <w:right w:val="none" w:sz="0" w:space="0" w:color="auto"/>
          </w:divBdr>
        </w:div>
      </w:divsChild>
    </w:div>
    <w:div w:id="1782720604">
      <w:bodyDiv w:val="1"/>
      <w:marLeft w:val="0"/>
      <w:marRight w:val="0"/>
      <w:marTop w:val="0"/>
      <w:marBottom w:val="0"/>
      <w:divBdr>
        <w:top w:val="none" w:sz="0" w:space="0" w:color="auto"/>
        <w:left w:val="none" w:sz="0" w:space="0" w:color="auto"/>
        <w:bottom w:val="none" w:sz="0" w:space="0" w:color="auto"/>
        <w:right w:val="none" w:sz="0" w:space="0" w:color="auto"/>
      </w:divBdr>
    </w:div>
    <w:div w:id="1915780109">
      <w:bodyDiv w:val="1"/>
      <w:marLeft w:val="0"/>
      <w:marRight w:val="0"/>
      <w:marTop w:val="0"/>
      <w:marBottom w:val="0"/>
      <w:divBdr>
        <w:top w:val="none" w:sz="0" w:space="0" w:color="auto"/>
        <w:left w:val="none" w:sz="0" w:space="0" w:color="auto"/>
        <w:bottom w:val="none" w:sz="0" w:space="0" w:color="auto"/>
        <w:right w:val="none" w:sz="0" w:space="0" w:color="auto"/>
      </w:divBdr>
      <w:divsChild>
        <w:div w:id="182935265">
          <w:marLeft w:val="0"/>
          <w:marRight w:val="0"/>
          <w:marTop w:val="0"/>
          <w:marBottom w:val="0"/>
          <w:divBdr>
            <w:top w:val="none" w:sz="0" w:space="0" w:color="auto"/>
            <w:left w:val="none" w:sz="0" w:space="0" w:color="auto"/>
            <w:bottom w:val="none" w:sz="0" w:space="0" w:color="auto"/>
            <w:right w:val="none" w:sz="0" w:space="0" w:color="auto"/>
          </w:divBdr>
        </w:div>
      </w:divsChild>
    </w:div>
    <w:div w:id="1956062881">
      <w:bodyDiv w:val="1"/>
      <w:marLeft w:val="0"/>
      <w:marRight w:val="0"/>
      <w:marTop w:val="0"/>
      <w:marBottom w:val="0"/>
      <w:divBdr>
        <w:top w:val="none" w:sz="0" w:space="0" w:color="auto"/>
        <w:left w:val="none" w:sz="0" w:space="0" w:color="auto"/>
        <w:bottom w:val="none" w:sz="0" w:space="0" w:color="auto"/>
        <w:right w:val="none" w:sz="0" w:space="0" w:color="auto"/>
      </w:divBdr>
      <w:divsChild>
        <w:div w:id="1206142323">
          <w:marLeft w:val="0"/>
          <w:marRight w:val="0"/>
          <w:marTop w:val="0"/>
          <w:marBottom w:val="0"/>
          <w:divBdr>
            <w:top w:val="none" w:sz="0" w:space="0" w:color="auto"/>
            <w:left w:val="none" w:sz="0" w:space="0" w:color="auto"/>
            <w:bottom w:val="none" w:sz="0" w:space="0" w:color="auto"/>
            <w:right w:val="none" w:sz="0" w:space="0" w:color="auto"/>
          </w:divBdr>
        </w:div>
      </w:divsChild>
    </w:div>
    <w:div w:id="1958290553">
      <w:bodyDiv w:val="1"/>
      <w:marLeft w:val="0"/>
      <w:marRight w:val="0"/>
      <w:marTop w:val="0"/>
      <w:marBottom w:val="0"/>
      <w:divBdr>
        <w:top w:val="none" w:sz="0" w:space="0" w:color="auto"/>
        <w:left w:val="none" w:sz="0" w:space="0" w:color="auto"/>
        <w:bottom w:val="none" w:sz="0" w:space="0" w:color="auto"/>
        <w:right w:val="none" w:sz="0" w:space="0" w:color="auto"/>
      </w:divBdr>
      <w:divsChild>
        <w:div w:id="27028797">
          <w:marLeft w:val="0"/>
          <w:marRight w:val="0"/>
          <w:marTop w:val="0"/>
          <w:marBottom w:val="0"/>
          <w:divBdr>
            <w:top w:val="none" w:sz="0" w:space="0" w:color="auto"/>
            <w:left w:val="none" w:sz="0" w:space="0" w:color="auto"/>
            <w:bottom w:val="none" w:sz="0" w:space="0" w:color="auto"/>
            <w:right w:val="none" w:sz="0" w:space="0" w:color="auto"/>
          </w:divBdr>
        </w:div>
      </w:divsChild>
    </w:div>
    <w:div w:id="1989899386">
      <w:bodyDiv w:val="1"/>
      <w:marLeft w:val="0"/>
      <w:marRight w:val="0"/>
      <w:marTop w:val="0"/>
      <w:marBottom w:val="0"/>
      <w:divBdr>
        <w:top w:val="none" w:sz="0" w:space="0" w:color="auto"/>
        <w:left w:val="none" w:sz="0" w:space="0" w:color="auto"/>
        <w:bottom w:val="none" w:sz="0" w:space="0" w:color="auto"/>
        <w:right w:val="none" w:sz="0" w:space="0" w:color="auto"/>
      </w:divBdr>
    </w:div>
    <w:div w:id="1994017844">
      <w:bodyDiv w:val="1"/>
      <w:marLeft w:val="0"/>
      <w:marRight w:val="0"/>
      <w:marTop w:val="0"/>
      <w:marBottom w:val="0"/>
      <w:divBdr>
        <w:top w:val="none" w:sz="0" w:space="0" w:color="auto"/>
        <w:left w:val="none" w:sz="0" w:space="0" w:color="auto"/>
        <w:bottom w:val="none" w:sz="0" w:space="0" w:color="auto"/>
        <w:right w:val="none" w:sz="0" w:space="0" w:color="auto"/>
      </w:divBdr>
    </w:div>
    <w:div w:id="1994605975">
      <w:bodyDiv w:val="1"/>
      <w:marLeft w:val="0"/>
      <w:marRight w:val="0"/>
      <w:marTop w:val="0"/>
      <w:marBottom w:val="0"/>
      <w:divBdr>
        <w:top w:val="none" w:sz="0" w:space="0" w:color="auto"/>
        <w:left w:val="none" w:sz="0" w:space="0" w:color="auto"/>
        <w:bottom w:val="none" w:sz="0" w:space="0" w:color="auto"/>
        <w:right w:val="none" w:sz="0" w:space="0" w:color="auto"/>
      </w:divBdr>
    </w:div>
    <w:div w:id="2003043283">
      <w:bodyDiv w:val="1"/>
      <w:marLeft w:val="0"/>
      <w:marRight w:val="0"/>
      <w:marTop w:val="0"/>
      <w:marBottom w:val="0"/>
      <w:divBdr>
        <w:top w:val="none" w:sz="0" w:space="0" w:color="auto"/>
        <w:left w:val="none" w:sz="0" w:space="0" w:color="auto"/>
        <w:bottom w:val="none" w:sz="0" w:space="0" w:color="auto"/>
        <w:right w:val="none" w:sz="0" w:space="0" w:color="auto"/>
      </w:divBdr>
    </w:div>
    <w:div w:id="2025284738">
      <w:bodyDiv w:val="1"/>
      <w:marLeft w:val="0"/>
      <w:marRight w:val="0"/>
      <w:marTop w:val="0"/>
      <w:marBottom w:val="0"/>
      <w:divBdr>
        <w:top w:val="none" w:sz="0" w:space="0" w:color="auto"/>
        <w:left w:val="none" w:sz="0" w:space="0" w:color="auto"/>
        <w:bottom w:val="none" w:sz="0" w:space="0" w:color="auto"/>
        <w:right w:val="none" w:sz="0" w:space="0" w:color="auto"/>
      </w:divBdr>
    </w:div>
    <w:div w:id="2045203948">
      <w:bodyDiv w:val="1"/>
      <w:marLeft w:val="0"/>
      <w:marRight w:val="0"/>
      <w:marTop w:val="0"/>
      <w:marBottom w:val="0"/>
      <w:divBdr>
        <w:top w:val="none" w:sz="0" w:space="0" w:color="auto"/>
        <w:left w:val="none" w:sz="0" w:space="0" w:color="auto"/>
        <w:bottom w:val="none" w:sz="0" w:space="0" w:color="auto"/>
        <w:right w:val="none" w:sz="0" w:space="0" w:color="auto"/>
      </w:divBdr>
    </w:div>
    <w:div w:id="2116440411">
      <w:bodyDiv w:val="1"/>
      <w:marLeft w:val="0"/>
      <w:marRight w:val="0"/>
      <w:marTop w:val="0"/>
      <w:marBottom w:val="0"/>
      <w:divBdr>
        <w:top w:val="none" w:sz="0" w:space="0" w:color="auto"/>
        <w:left w:val="none" w:sz="0" w:space="0" w:color="auto"/>
        <w:bottom w:val="none" w:sz="0" w:space="0" w:color="auto"/>
        <w:right w:val="none" w:sz="0" w:space="0" w:color="auto"/>
      </w:divBdr>
    </w:div>
    <w:div w:id="213216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cid:73294b02-32f5-4c19-9d3c-2f71d08047e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hyperlink" Target="https://www.ncetm.org.uk/files/109551480/ncetm_primarymasterypd_teaching_sequenc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bps\burford\Users\Staff\sdesborough\Downloads\Year%203%20NCETM%20Recommended%20teaching%20sequence%20with%20teaching%20poi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Year 3 NCETM Recommended teaching sequence with teaching points</Template>
  <TotalTime>1</TotalTime>
  <Pages>4</Pages>
  <Words>2073</Words>
  <Characters>11821</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Desborough</dc:creator>
  <cp:keywords/>
  <dc:description/>
  <cp:lastModifiedBy>Head Burford CE Primary</cp:lastModifiedBy>
  <cp:revision>2</cp:revision>
  <cp:lastPrinted>2019-10-18T08:34:00Z</cp:lastPrinted>
  <dcterms:created xsi:type="dcterms:W3CDTF">2021-10-05T13:49:00Z</dcterms:created>
  <dcterms:modified xsi:type="dcterms:W3CDTF">2021-10-05T13:49:00Z</dcterms:modified>
</cp:coreProperties>
</file>