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0" w:type="auto"/>
        <w:tblLook w:val="04A0" w:firstRow="1" w:lastRow="0" w:firstColumn="1" w:lastColumn="0" w:noHBand="0" w:noVBand="1"/>
      </w:tblPr>
      <w:tblGrid>
        <w:gridCol w:w="15390"/>
      </w:tblGrid>
      <w:tr w:rsidR="006A512D" w:rsidRPr="00A54B8B" w:rsidTr="00F92AE4">
        <w:trPr>
          <w:cantSplit/>
        </w:trPr>
        <w:tc>
          <w:tcPr>
            <w:tcW w:w="0" w:type="auto"/>
          </w:tcPr>
          <w:p w:rsidR="00E50674" w:rsidRPr="00A54B8B" w:rsidRDefault="001D0AFD" w:rsidP="00A54B8B">
            <w:pPr>
              <w:spacing w:before="60"/>
              <w:rPr>
                <w:rFonts w:cstheme="minorHAnsi"/>
                <w:sz w:val="21"/>
                <w:szCs w:val="21"/>
              </w:rPr>
            </w:pPr>
            <w:bookmarkStart w:id="0" w:name="_GoBack"/>
            <w:bookmarkEnd w:id="0"/>
            <w:r w:rsidRPr="00A54B8B">
              <w:rPr>
                <w:rFonts w:cstheme="minorHAnsi"/>
                <w:b/>
                <w:color w:val="1E6DB3"/>
                <w:sz w:val="21"/>
                <w:szCs w:val="21"/>
              </w:rPr>
              <w:t>Number, addition and subtraction</w:t>
            </w:r>
          </w:p>
        </w:tc>
      </w:tr>
      <w:tr w:rsidR="006A512D" w:rsidRPr="00A54B8B" w:rsidTr="00F92AE4">
        <w:trPr>
          <w:cantSplit/>
        </w:trPr>
        <w:tc>
          <w:tcPr>
            <w:tcW w:w="0" w:type="auto"/>
          </w:tcPr>
          <w:p w:rsidR="00700C39" w:rsidRPr="00A54B8B" w:rsidRDefault="00E50674" w:rsidP="00A54B8B">
            <w:pPr>
              <w:pStyle w:val="NormalWeb"/>
              <w:spacing w:before="60" w:beforeAutospacing="0" w:after="0" w:afterAutospacing="0"/>
              <w:rPr>
                <w:rFonts w:asciiTheme="minorHAnsi" w:hAnsiTheme="minorHAnsi" w:cstheme="minorHAnsi"/>
                <w:color w:val="333333"/>
                <w:sz w:val="21"/>
                <w:szCs w:val="21"/>
              </w:rPr>
            </w:pPr>
            <w:r w:rsidRPr="00A54B8B">
              <w:rPr>
                <w:rStyle w:val="Strong"/>
                <w:rFonts w:asciiTheme="minorHAnsi" w:hAnsiTheme="minorHAnsi" w:cstheme="minorHAnsi"/>
                <w:color w:val="333333"/>
                <w:sz w:val="21"/>
                <w:szCs w:val="21"/>
              </w:rPr>
              <w:t>1.</w:t>
            </w:r>
            <w:r w:rsidR="001624C7" w:rsidRPr="00A54B8B">
              <w:rPr>
                <w:rStyle w:val="Strong"/>
                <w:rFonts w:asciiTheme="minorHAnsi" w:hAnsiTheme="minorHAnsi" w:cstheme="minorHAnsi"/>
                <w:color w:val="333333"/>
                <w:sz w:val="21"/>
                <w:szCs w:val="21"/>
              </w:rPr>
              <w:t xml:space="preserve">26 </w:t>
            </w:r>
            <w:r w:rsidR="001624C7" w:rsidRPr="00D64A90">
              <w:rPr>
                <w:rStyle w:val="Strong"/>
                <w:rFonts w:asciiTheme="minorHAnsi" w:hAnsiTheme="minorHAnsi" w:cstheme="minorHAnsi"/>
                <w:color w:val="333333"/>
                <w:sz w:val="21"/>
                <w:szCs w:val="21"/>
                <w:highlight w:val="yellow"/>
              </w:rPr>
              <w:t>Composition and calculation: multiples of 1,000 up to 1,000,000</w:t>
            </w:r>
            <w:r w:rsidR="0085309A" w:rsidRPr="00A54B8B">
              <w:rPr>
                <w:rStyle w:val="Strong"/>
                <w:rFonts w:asciiTheme="minorHAnsi" w:hAnsiTheme="minorHAnsi" w:cstheme="minorHAnsi"/>
                <w:color w:val="333333"/>
                <w:sz w:val="21"/>
                <w:szCs w:val="21"/>
              </w:rPr>
              <w:t xml:space="preserve"> </w:t>
            </w:r>
            <w:r w:rsidR="00700C39" w:rsidRPr="00A54B8B">
              <w:rPr>
                <w:rFonts w:asciiTheme="minorHAnsi" w:hAnsiTheme="minorHAnsi" w:cstheme="minorHAnsi"/>
                <w:color w:val="333333"/>
                <w:sz w:val="21"/>
                <w:szCs w:val="21"/>
              </w:rPr>
              <w:t>Explore the composition of six-digit, whole-thousand numbers, using the partitioning structure; apply knowledge and strategies from segments 1.17 and 1.18 combined with unitising in 1,000s, as well as column methods and rounding.</w:t>
            </w:r>
          </w:p>
          <w:p w:rsidR="00700C39"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Understanding of numbers composed of hundred thousands, ten thousands and one thousands can be supported by making links to numbers composed of hundreds, tens and ones.</w:t>
            </w:r>
          </w:p>
          <w:p w:rsidR="00700C39"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Multiples of 1,000 up to 1,000,000 can be placed in the linear number system by drawing on knowledge of the place of numbers up to 1,000 in the linear number system.</w:t>
            </w:r>
          </w:p>
          <w:p w:rsidR="00700C39"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Numbers can be ordered and compared using knowledge of their composition and of their place in the linear number system.</w:t>
            </w:r>
          </w:p>
          <w:p w:rsidR="00700C39"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Calculation approaches for numbers up to 1,000 can be applied to multiples of 1,000 up to 1,000,000.</w:t>
            </w:r>
          </w:p>
          <w:p w:rsidR="00700C39"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Numbers can be rounded to simplify calculations or to indicate approximate sizes.</w:t>
            </w:r>
          </w:p>
          <w:p w:rsidR="00E50674" w:rsidRPr="00A54B8B" w:rsidRDefault="00700C39" w:rsidP="00A54B8B">
            <w:pPr>
              <w:numPr>
                <w:ilvl w:val="0"/>
                <w:numId w:val="12"/>
              </w:numPr>
              <w:spacing w:before="60"/>
              <w:ind w:left="0"/>
              <w:rPr>
                <w:rFonts w:cstheme="minorHAnsi"/>
                <w:color w:val="333333"/>
                <w:sz w:val="21"/>
                <w:szCs w:val="21"/>
              </w:rPr>
            </w:pPr>
            <w:r w:rsidRPr="00A54B8B">
              <w:rPr>
                <w:rStyle w:val="Strong"/>
                <w:rFonts w:cstheme="minorHAnsi"/>
                <w:color w:val="333333"/>
                <w:sz w:val="21"/>
                <w:szCs w:val="21"/>
              </w:rPr>
              <w:t>Teaching point 6</w:t>
            </w:r>
            <w:r w:rsidRPr="00A54B8B">
              <w:rPr>
                <w:rFonts w:cstheme="minorHAnsi"/>
                <w:color w:val="333333"/>
                <w:sz w:val="21"/>
                <w:szCs w:val="21"/>
              </w:rPr>
              <w:t>: Known patterns can be used to divide 10,000 and 100,000 into two, four and five equal parts. These units are commonly used in graphing and measures.</w:t>
            </w:r>
          </w:p>
        </w:tc>
      </w:tr>
      <w:tr w:rsidR="006A512D" w:rsidRPr="00A54B8B" w:rsidTr="00F92AE4">
        <w:trPr>
          <w:cantSplit/>
        </w:trPr>
        <w:tc>
          <w:tcPr>
            <w:tcW w:w="0" w:type="auto"/>
          </w:tcPr>
          <w:p w:rsidR="00700C39" w:rsidRPr="00A54B8B" w:rsidRDefault="00E50674" w:rsidP="00A54B8B">
            <w:pPr>
              <w:pStyle w:val="NormalWeb"/>
              <w:spacing w:before="60" w:beforeAutospacing="0" w:after="0" w:afterAutospacing="0"/>
              <w:rPr>
                <w:rFonts w:asciiTheme="minorHAnsi" w:hAnsiTheme="minorHAnsi" w:cstheme="minorHAnsi"/>
                <w:color w:val="333333"/>
                <w:sz w:val="21"/>
                <w:szCs w:val="21"/>
              </w:rPr>
            </w:pPr>
            <w:r w:rsidRPr="00A54B8B">
              <w:rPr>
                <w:rStyle w:val="Strong"/>
                <w:rFonts w:asciiTheme="minorHAnsi" w:hAnsiTheme="minorHAnsi" w:cstheme="minorHAnsi"/>
                <w:bCs w:val="0"/>
                <w:color w:val="333333"/>
                <w:sz w:val="21"/>
                <w:szCs w:val="21"/>
              </w:rPr>
              <w:t>1.2</w:t>
            </w:r>
            <w:r w:rsidR="001624C7" w:rsidRPr="00A54B8B">
              <w:rPr>
                <w:rStyle w:val="Strong"/>
                <w:rFonts w:asciiTheme="minorHAnsi" w:hAnsiTheme="minorHAnsi" w:cstheme="minorHAnsi"/>
                <w:bCs w:val="0"/>
                <w:color w:val="333333"/>
                <w:sz w:val="21"/>
                <w:szCs w:val="21"/>
              </w:rPr>
              <w:t xml:space="preserve">7 </w:t>
            </w:r>
            <w:r w:rsidR="001624C7" w:rsidRPr="00D64A90">
              <w:rPr>
                <w:rStyle w:val="Strong"/>
                <w:rFonts w:asciiTheme="minorHAnsi" w:hAnsiTheme="minorHAnsi" w:cstheme="minorHAnsi"/>
                <w:bCs w:val="0"/>
                <w:color w:val="333333"/>
                <w:sz w:val="21"/>
                <w:szCs w:val="21"/>
                <w:highlight w:val="yellow"/>
              </w:rPr>
              <w:t xml:space="preserve">Negative numbers: counting, comparing and </w:t>
            </w:r>
            <w:r w:rsidR="00700C39" w:rsidRPr="00D64A90">
              <w:rPr>
                <w:rStyle w:val="Strong"/>
                <w:rFonts w:asciiTheme="minorHAnsi" w:hAnsiTheme="minorHAnsi" w:cstheme="minorHAnsi"/>
                <w:bCs w:val="0"/>
                <w:color w:val="333333"/>
                <w:sz w:val="21"/>
                <w:szCs w:val="21"/>
                <w:highlight w:val="yellow"/>
              </w:rPr>
              <w:t>calculating</w:t>
            </w:r>
            <w:r w:rsidR="00700C39" w:rsidRPr="00A54B8B">
              <w:rPr>
                <w:rStyle w:val="Strong"/>
                <w:rFonts w:asciiTheme="minorHAnsi" w:hAnsiTheme="minorHAnsi" w:cstheme="minorHAnsi"/>
                <w:bCs w:val="0"/>
                <w:color w:val="333333"/>
                <w:sz w:val="21"/>
                <w:szCs w:val="21"/>
              </w:rPr>
              <w:t xml:space="preserve"> </w:t>
            </w:r>
            <w:r w:rsidR="00700C39" w:rsidRPr="00A54B8B">
              <w:rPr>
                <w:rFonts w:asciiTheme="minorHAnsi" w:hAnsiTheme="minorHAnsi" w:cstheme="minorHAnsi"/>
                <w:color w:val="333333"/>
                <w:sz w:val="21"/>
                <w:szCs w:val="21"/>
              </w:rPr>
              <w:t>Introduce children to negative numbers, making links to everyday contexts; explore addition and subtraction below zero and across zero</w:t>
            </w:r>
          </w:p>
          <w:p w:rsidR="00700C39"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Positive and negative numbers can be used to represent change.</w:t>
            </w:r>
          </w:p>
          <w:p w:rsidR="00700C39"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Our number system includes numbers that are less than zero; these are negative numbers. Numbers greater than zero are positive numbers.</w:t>
            </w:r>
          </w:p>
          <w:p w:rsidR="00700C39"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The negative/minus symbol (−) is placed before a numeral to indicate that the value is a negative number.</w:t>
            </w:r>
          </w:p>
          <w:p w:rsidR="00700C39"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Negative numbers can be shown on horizontal scales; numbers to the left of zero are negative (less than zero) and numbers to the right of zero are positive (greater than zero). The larger the value of the numeral after the negative/minus symbol, the further the number is from zero.</w:t>
            </w:r>
          </w:p>
          <w:p w:rsidR="00700C39"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Knowledge of the positions of positive and negative numbers in the number system can be used to calculate intervals across zero.</w:t>
            </w:r>
          </w:p>
          <w:p w:rsidR="00E50674" w:rsidRPr="00A54B8B" w:rsidRDefault="00700C39" w:rsidP="00A54B8B">
            <w:pPr>
              <w:numPr>
                <w:ilvl w:val="0"/>
                <w:numId w:val="13"/>
              </w:numPr>
              <w:spacing w:before="60"/>
              <w:ind w:left="0"/>
              <w:rPr>
                <w:rFonts w:cstheme="minorHAnsi"/>
                <w:color w:val="333333"/>
                <w:sz w:val="21"/>
                <w:szCs w:val="21"/>
              </w:rPr>
            </w:pPr>
            <w:r w:rsidRPr="00A54B8B">
              <w:rPr>
                <w:rStyle w:val="Strong"/>
                <w:rFonts w:cstheme="minorHAnsi"/>
                <w:color w:val="333333"/>
                <w:sz w:val="21"/>
                <w:szCs w:val="21"/>
              </w:rPr>
              <w:t>Teaching point 6</w:t>
            </w:r>
            <w:r w:rsidRPr="00A54B8B">
              <w:rPr>
                <w:rFonts w:cstheme="minorHAnsi"/>
                <w:color w:val="333333"/>
                <w:sz w:val="21"/>
                <w:szCs w:val="21"/>
              </w:rPr>
              <w:t>: Negative numbers are used in coordinate and graphing contexts.</w:t>
            </w:r>
          </w:p>
        </w:tc>
      </w:tr>
      <w:tr w:rsidR="006A512D" w:rsidRPr="00A54B8B" w:rsidTr="00F92AE4">
        <w:trPr>
          <w:cantSplit/>
        </w:trPr>
        <w:tc>
          <w:tcPr>
            <w:tcW w:w="0" w:type="auto"/>
          </w:tcPr>
          <w:p w:rsidR="00700C39" w:rsidRPr="00A54B8B" w:rsidRDefault="00E50674" w:rsidP="00A54B8B">
            <w:pPr>
              <w:pStyle w:val="NormalWeb"/>
              <w:spacing w:before="60" w:beforeAutospacing="0" w:after="0" w:afterAutospacing="0"/>
              <w:rPr>
                <w:rFonts w:asciiTheme="minorHAnsi" w:hAnsiTheme="minorHAnsi" w:cstheme="minorHAnsi"/>
                <w:color w:val="333333"/>
                <w:sz w:val="21"/>
                <w:szCs w:val="21"/>
              </w:rPr>
            </w:pPr>
            <w:r w:rsidRPr="00A54B8B">
              <w:rPr>
                <w:rStyle w:val="Strong"/>
                <w:rFonts w:asciiTheme="minorHAnsi" w:hAnsiTheme="minorHAnsi" w:cstheme="minorHAnsi"/>
                <w:sz w:val="21"/>
                <w:szCs w:val="21"/>
              </w:rPr>
              <w:t>1.</w:t>
            </w:r>
            <w:r w:rsidR="001624C7" w:rsidRPr="00A54B8B">
              <w:rPr>
                <w:rStyle w:val="Strong"/>
                <w:rFonts w:asciiTheme="minorHAnsi" w:hAnsiTheme="minorHAnsi" w:cstheme="minorHAnsi"/>
                <w:sz w:val="21"/>
                <w:szCs w:val="21"/>
              </w:rPr>
              <w:t>28</w:t>
            </w:r>
            <w:r w:rsidRPr="00A54B8B">
              <w:rPr>
                <w:rStyle w:val="Strong"/>
                <w:rFonts w:asciiTheme="minorHAnsi" w:hAnsiTheme="minorHAnsi" w:cstheme="minorHAnsi"/>
                <w:sz w:val="21"/>
                <w:szCs w:val="21"/>
              </w:rPr>
              <w:t xml:space="preserve"> </w:t>
            </w:r>
            <w:r w:rsidR="001624C7" w:rsidRPr="00D64A90">
              <w:rPr>
                <w:rStyle w:val="Strong"/>
                <w:rFonts w:asciiTheme="minorHAnsi" w:hAnsiTheme="minorHAnsi" w:cstheme="minorHAnsi"/>
                <w:sz w:val="21"/>
                <w:szCs w:val="21"/>
                <w:highlight w:val="yellow"/>
              </w:rPr>
              <w:t>Common structures of the part-part-whole relationship</w:t>
            </w:r>
            <w:r w:rsidR="004F5689" w:rsidRPr="00A54B8B">
              <w:rPr>
                <w:rFonts w:asciiTheme="minorHAnsi" w:hAnsiTheme="minorHAnsi" w:cstheme="minorHAnsi"/>
                <w:color w:val="333333"/>
                <w:sz w:val="21"/>
                <w:szCs w:val="21"/>
                <w:shd w:val="clear" w:color="auto" w:fill="FFFFFF"/>
              </w:rPr>
              <w:t xml:space="preserve"> </w:t>
            </w:r>
            <w:r w:rsidR="00700C39" w:rsidRPr="00A54B8B">
              <w:rPr>
                <w:rFonts w:asciiTheme="minorHAnsi" w:hAnsiTheme="minorHAnsi" w:cstheme="minorHAnsi"/>
                <w:color w:val="333333"/>
                <w:sz w:val="21"/>
                <w:szCs w:val="21"/>
              </w:rPr>
              <w:t>Extend the part–part–part–whole structure (three or more parts) to solve missing part/whole problems in a range of contexts; draw on number composition and additive concepts from across the spine, focusing on the structural equivalence of the problems.</w:t>
            </w:r>
          </w:p>
          <w:p w:rsidR="00700C39" w:rsidRPr="00A54B8B" w:rsidRDefault="00700C39" w:rsidP="00A54B8B">
            <w:pPr>
              <w:numPr>
                <w:ilvl w:val="0"/>
                <w:numId w:val="14"/>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Mathematical relationships encountered at primary level are either additive or multiplicative; both of these can be observed within the structure of part–part–whole relationships.</w:t>
            </w:r>
          </w:p>
          <w:p w:rsidR="00700C39" w:rsidRPr="00A54B8B" w:rsidRDefault="00700C39" w:rsidP="00A54B8B">
            <w:pPr>
              <w:numPr>
                <w:ilvl w:val="0"/>
                <w:numId w:val="14"/>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Problems in many different contexts can be solved by adding together the parts to find the whole. Different strategies can be used to calculate the whole, but the structure of the problem remains the same.</w:t>
            </w:r>
          </w:p>
          <w:p w:rsidR="00700C39" w:rsidRPr="00A54B8B" w:rsidRDefault="00700C39" w:rsidP="00A54B8B">
            <w:pPr>
              <w:numPr>
                <w:ilvl w:val="0"/>
                <w:numId w:val="14"/>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If the value of the whole is known, along with the values of all but one of the parts, the value of the missing part can be calculated. Different strategies can be used to calculate the missing part, but the structure of the problem remains the same.</w:t>
            </w:r>
          </w:p>
          <w:p w:rsidR="00E50674" w:rsidRDefault="00700C39" w:rsidP="00A54B8B">
            <w:pPr>
              <w:numPr>
                <w:ilvl w:val="0"/>
                <w:numId w:val="14"/>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Problems in many different contexts have the ‘missing-part’ structure.</w:t>
            </w:r>
          </w:p>
          <w:p w:rsidR="00824925" w:rsidRDefault="00824925" w:rsidP="00824925">
            <w:pPr>
              <w:spacing w:before="60"/>
              <w:rPr>
                <w:rFonts w:cstheme="minorHAnsi"/>
                <w:color w:val="333333"/>
                <w:sz w:val="21"/>
                <w:szCs w:val="21"/>
              </w:rPr>
            </w:pPr>
          </w:p>
          <w:p w:rsidR="00824925" w:rsidRDefault="00824925" w:rsidP="00824925">
            <w:pPr>
              <w:spacing w:before="60"/>
              <w:rPr>
                <w:rFonts w:cstheme="minorHAnsi"/>
                <w:color w:val="333333"/>
                <w:sz w:val="21"/>
                <w:szCs w:val="21"/>
              </w:rPr>
            </w:pPr>
          </w:p>
          <w:p w:rsidR="00824925" w:rsidRDefault="00824925" w:rsidP="00824925">
            <w:pPr>
              <w:spacing w:before="60"/>
              <w:rPr>
                <w:rFonts w:cstheme="minorHAnsi"/>
                <w:color w:val="333333"/>
                <w:sz w:val="21"/>
                <w:szCs w:val="21"/>
              </w:rPr>
            </w:pPr>
          </w:p>
          <w:p w:rsidR="00824925" w:rsidRDefault="00824925" w:rsidP="00824925">
            <w:pPr>
              <w:spacing w:before="60"/>
              <w:rPr>
                <w:rFonts w:cstheme="minorHAnsi"/>
                <w:color w:val="333333"/>
                <w:sz w:val="21"/>
                <w:szCs w:val="21"/>
              </w:rPr>
            </w:pPr>
          </w:p>
          <w:p w:rsidR="00824925" w:rsidRPr="00A54B8B" w:rsidRDefault="00824925" w:rsidP="00824925">
            <w:pPr>
              <w:spacing w:before="60"/>
              <w:rPr>
                <w:rFonts w:cstheme="minorHAnsi"/>
                <w:color w:val="333333"/>
                <w:sz w:val="21"/>
                <w:szCs w:val="21"/>
              </w:rPr>
            </w:pPr>
          </w:p>
        </w:tc>
      </w:tr>
      <w:tr w:rsidR="00824925" w:rsidRPr="00A54B8B" w:rsidTr="005E489D">
        <w:trPr>
          <w:cantSplit/>
        </w:trPr>
        <w:tc>
          <w:tcPr>
            <w:tcW w:w="0" w:type="auto"/>
          </w:tcPr>
          <w:p w:rsidR="00824925" w:rsidRPr="00A54B8B" w:rsidRDefault="00824925" w:rsidP="00824925">
            <w:pPr>
              <w:spacing w:before="60"/>
              <w:rPr>
                <w:rFonts w:cstheme="minorHAnsi"/>
                <w:sz w:val="21"/>
                <w:szCs w:val="21"/>
              </w:rPr>
            </w:pPr>
            <w:r w:rsidRPr="00A54B8B">
              <w:rPr>
                <w:rFonts w:cstheme="minorHAnsi"/>
                <w:b/>
                <w:color w:val="1E6DB3"/>
                <w:sz w:val="21"/>
                <w:szCs w:val="21"/>
              </w:rPr>
              <w:lastRenderedPageBreak/>
              <w:t>Number, addition and subtraction</w:t>
            </w:r>
            <w:r>
              <w:rPr>
                <w:rFonts w:cstheme="minorHAnsi"/>
                <w:b/>
                <w:color w:val="1E6DB3"/>
                <w:sz w:val="21"/>
                <w:szCs w:val="21"/>
              </w:rPr>
              <w:t xml:space="preserve"> (cont.)</w:t>
            </w:r>
          </w:p>
        </w:tc>
      </w:tr>
      <w:tr w:rsidR="006A512D" w:rsidRPr="00A54B8B" w:rsidTr="00F92AE4">
        <w:trPr>
          <w:cantSplit/>
        </w:trPr>
        <w:tc>
          <w:tcPr>
            <w:tcW w:w="0" w:type="auto"/>
          </w:tcPr>
          <w:p w:rsidR="00700C39" w:rsidRPr="00A54B8B" w:rsidRDefault="00E50674" w:rsidP="00A54B8B">
            <w:pPr>
              <w:pStyle w:val="NormalWeb"/>
              <w:spacing w:before="60" w:beforeAutospacing="0" w:after="0" w:afterAutospacing="0"/>
              <w:rPr>
                <w:rFonts w:asciiTheme="minorHAnsi" w:hAnsiTheme="minorHAnsi" w:cstheme="minorHAnsi"/>
                <w:color w:val="333333"/>
                <w:sz w:val="21"/>
                <w:szCs w:val="21"/>
              </w:rPr>
            </w:pPr>
            <w:r w:rsidRPr="00A54B8B">
              <w:rPr>
                <w:rStyle w:val="Strong"/>
                <w:rFonts w:asciiTheme="minorHAnsi" w:hAnsiTheme="minorHAnsi" w:cstheme="minorHAnsi"/>
                <w:bCs w:val="0"/>
                <w:sz w:val="21"/>
                <w:szCs w:val="21"/>
              </w:rPr>
              <w:t>1.</w:t>
            </w:r>
            <w:r w:rsidR="001624C7" w:rsidRPr="00A54B8B">
              <w:rPr>
                <w:rStyle w:val="Strong"/>
                <w:rFonts w:asciiTheme="minorHAnsi" w:hAnsiTheme="minorHAnsi" w:cstheme="minorHAnsi"/>
                <w:bCs w:val="0"/>
                <w:sz w:val="21"/>
                <w:szCs w:val="21"/>
              </w:rPr>
              <w:t>29</w:t>
            </w:r>
            <w:r w:rsidRPr="00A54B8B">
              <w:rPr>
                <w:rStyle w:val="Strong"/>
                <w:rFonts w:asciiTheme="minorHAnsi" w:hAnsiTheme="minorHAnsi" w:cstheme="minorHAnsi"/>
                <w:bCs w:val="0"/>
                <w:sz w:val="21"/>
                <w:szCs w:val="21"/>
              </w:rPr>
              <w:t xml:space="preserve"> </w:t>
            </w:r>
            <w:r w:rsidR="001624C7" w:rsidRPr="00D64A90">
              <w:rPr>
                <w:rStyle w:val="Strong"/>
                <w:rFonts w:asciiTheme="minorHAnsi" w:hAnsiTheme="minorHAnsi" w:cstheme="minorHAnsi"/>
                <w:bCs w:val="0"/>
                <w:sz w:val="21"/>
                <w:szCs w:val="21"/>
                <w:highlight w:val="yellow"/>
              </w:rPr>
              <w:t>Using equivalence and the compensation property to calculate</w:t>
            </w:r>
            <w:r w:rsidR="004F5689" w:rsidRPr="00A54B8B">
              <w:rPr>
                <w:rFonts w:asciiTheme="minorHAnsi" w:hAnsiTheme="minorHAnsi" w:cstheme="minorHAnsi"/>
                <w:color w:val="333333"/>
                <w:sz w:val="21"/>
                <w:szCs w:val="21"/>
                <w:shd w:val="clear" w:color="auto" w:fill="FFFFFF"/>
              </w:rPr>
              <w:t xml:space="preserve"> </w:t>
            </w:r>
            <w:r w:rsidR="00700C39" w:rsidRPr="00A54B8B">
              <w:rPr>
                <w:rFonts w:asciiTheme="minorHAnsi" w:hAnsiTheme="minorHAnsi" w:cstheme="minorHAnsi"/>
                <w:color w:val="333333"/>
                <w:sz w:val="21"/>
                <w:szCs w:val="21"/>
              </w:rPr>
              <w:t>Explore the effect on the sum of changing the value of one or both addends; explore the effect on the difference of changing the value of the minuend, the subtrahend or both. Apply knowledge of compensation properties and inverse operations to calculate and balance equations.</w:t>
            </w:r>
          </w:p>
          <w:p w:rsidR="00700C39"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If one addend is increased and the other is decreased by the same amount, the sum stays the same. (same sum)</w:t>
            </w:r>
          </w:p>
          <w:p w:rsidR="00700C39"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If one addend is increased (or decreased) and the other is kept the same, the sum increases (or decreases) by the same amount.</w:t>
            </w:r>
          </w:p>
          <w:p w:rsidR="00700C39"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If the minuend and subtrahend are changed by the same amount, the difference stays the same. (same difference)</w:t>
            </w:r>
          </w:p>
          <w:p w:rsidR="00700C39"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If the minuend is increased (or decreased) and the subtrahend is kept the same, the difference increases (or decreases) by the same amount.</w:t>
            </w:r>
          </w:p>
          <w:p w:rsidR="00700C39"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If the minuend is kept the same and the subtrahend is increased (or decreased), the difference decreases (or increases) by the same amount.</w:t>
            </w:r>
          </w:p>
          <w:p w:rsidR="00E50674" w:rsidRPr="00A54B8B" w:rsidRDefault="00700C39" w:rsidP="00A54B8B">
            <w:pPr>
              <w:numPr>
                <w:ilvl w:val="0"/>
                <w:numId w:val="15"/>
              </w:numPr>
              <w:spacing w:before="60"/>
              <w:ind w:left="0"/>
              <w:rPr>
                <w:rFonts w:cstheme="minorHAnsi"/>
                <w:color w:val="333333"/>
                <w:sz w:val="21"/>
                <w:szCs w:val="21"/>
              </w:rPr>
            </w:pPr>
            <w:r w:rsidRPr="00A54B8B">
              <w:rPr>
                <w:rStyle w:val="Strong"/>
                <w:rFonts w:cstheme="minorHAnsi"/>
                <w:color w:val="333333"/>
                <w:sz w:val="21"/>
                <w:szCs w:val="21"/>
              </w:rPr>
              <w:t>Teaching point 6</w:t>
            </w:r>
            <w:r w:rsidRPr="00A54B8B">
              <w:rPr>
                <w:rFonts w:cstheme="minorHAnsi"/>
                <w:color w:val="333333"/>
                <w:sz w:val="21"/>
                <w:szCs w:val="21"/>
              </w:rPr>
              <w:t>: The value of the expressions on each side of an equals symbol must be the same; addition and subtraction are inverse operations. We can use this knowledge to balance equations and solve problems.</w:t>
            </w:r>
          </w:p>
        </w:tc>
      </w:tr>
      <w:tr w:rsidR="006A512D" w:rsidRPr="00A54B8B" w:rsidTr="005E489D">
        <w:trPr>
          <w:cantSplit/>
        </w:trPr>
        <w:tc>
          <w:tcPr>
            <w:tcW w:w="0" w:type="auto"/>
          </w:tcPr>
          <w:p w:rsidR="001624C7" w:rsidRPr="00A54B8B" w:rsidRDefault="001624C7" w:rsidP="00A54B8B">
            <w:pPr>
              <w:spacing w:before="60"/>
              <w:rPr>
                <w:rFonts w:cstheme="minorHAnsi"/>
                <w:bCs/>
                <w:i/>
                <w:color w:val="333333"/>
                <w:sz w:val="21"/>
                <w:szCs w:val="21"/>
              </w:rPr>
            </w:pPr>
            <w:r w:rsidRPr="00A54B8B">
              <w:rPr>
                <w:rFonts w:cstheme="minorHAnsi"/>
                <w:b/>
                <w:color w:val="1E6DB3"/>
                <w:sz w:val="21"/>
                <w:szCs w:val="21"/>
              </w:rPr>
              <w:t>Multiplication &amp; Division</w:t>
            </w:r>
            <w:r w:rsidRPr="00A54B8B">
              <w:rPr>
                <w:rFonts w:cstheme="minorHAnsi"/>
                <w:bCs/>
                <w:i/>
                <w:color w:val="333333"/>
                <w:sz w:val="21"/>
                <w:szCs w:val="21"/>
              </w:rPr>
              <w:t xml:space="preserve"> Segment 2.18 is sequenced after 1.29 because it uses the same concept of equivalent calculation.</w:t>
            </w:r>
          </w:p>
        </w:tc>
      </w:tr>
      <w:tr w:rsidR="006A512D" w:rsidRPr="00A54B8B" w:rsidTr="00F92AE4">
        <w:trPr>
          <w:cantSplit/>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2</w:t>
            </w:r>
            <w:r w:rsidRPr="00A54B8B">
              <w:rPr>
                <w:rFonts w:asciiTheme="minorHAnsi" w:hAnsiTheme="minorHAnsi" w:cstheme="minorHAnsi"/>
                <w:bCs/>
                <w:color w:val="333333"/>
                <w:sz w:val="21"/>
                <w:szCs w:val="21"/>
              </w:rPr>
              <w:t>.18</w:t>
            </w:r>
            <w:r w:rsidR="00E50674" w:rsidRPr="00A54B8B">
              <w:rPr>
                <w:rFonts w:asciiTheme="minorHAnsi" w:hAnsiTheme="minorHAnsi" w:cstheme="minorHAnsi"/>
                <w:b/>
                <w:bCs/>
                <w:color w:val="333333"/>
                <w:sz w:val="21"/>
                <w:szCs w:val="21"/>
              </w:rPr>
              <w:t xml:space="preserve"> </w:t>
            </w:r>
            <w:r w:rsidRPr="00D64A90">
              <w:rPr>
                <w:rFonts w:asciiTheme="minorHAnsi" w:hAnsiTheme="minorHAnsi" w:cstheme="minorHAnsi"/>
                <w:b/>
                <w:bCs/>
                <w:color w:val="333333"/>
                <w:sz w:val="21"/>
                <w:szCs w:val="21"/>
                <w:highlight w:val="yellow"/>
              </w:rPr>
              <w:t>Using equivalence to calculate</w:t>
            </w:r>
            <w:r w:rsidR="00700C39" w:rsidRPr="00A54B8B">
              <w:rPr>
                <w:rFonts w:asciiTheme="minorHAnsi" w:hAnsiTheme="minorHAnsi" w:cstheme="minorHAnsi"/>
                <w:b/>
                <w:bCs/>
                <w:color w:val="333333"/>
                <w:sz w:val="21"/>
                <w:szCs w:val="21"/>
              </w:rPr>
              <w:t xml:space="preserve"> </w:t>
            </w:r>
            <w:r w:rsidR="00700C39" w:rsidRPr="00A54B8B">
              <w:rPr>
                <w:rFonts w:asciiTheme="minorHAnsi" w:hAnsiTheme="minorHAnsi" w:cstheme="minorHAnsi"/>
                <w:color w:val="333333"/>
                <w:sz w:val="21"/>
                <w:szCs w:val="21"/>
              </w:rPr>
              <w:t>Develop efficiency in calculation by using equivalence, through adjusting the factors (in multiplication) and the dividend and divisor (in division).</w:t>
            </w:r>
          </w:p>
          <w:p w:rsidR="00700C39" w:rsidRPr="00A54B8B" w:rsidRDefault="00700C39" w:rsidP="00A54B8B">
            <w:pPr>
              <w:numPr>
                <w:ilvl w:val="0"/>
                <w:numId w:val="16"/>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For multiplication, if there is a multiplicative</w:t>
            </w:r>
            <w:r w:rsidRPr="00A54B8B">
              <w:rPr>
                <w:rStyle w:val="apple-converted-space"/>
                <w:rFonts w:cstheme="minorHAnsi"/>
                <w:color w:val="333333"/>
                <w:sz w:val="21"/>
                <w:szCs w:val="21"/>
              </w:rPr>
              <w:t> </w:t>
            </w:r>
            <w:r w:rsidRPr="00A54B8B">
              <w:rPr>
                <w:rStyle w:val="Emphasis"/>
                <w:rFonts w:cstheme="minorHAnsi"/>
                <w:color w:val="333333"/>
                <w:sz w:val="21"/>
                <w:szCs w:val="21"/>
              </w:rPr>
              <w:t>increase</w:t>
            </w:r>
            <w:r w:rsidRPr="00A54B8B">
              <w:rPr>
                <w:rStyle w:val="apple-converted-space"/>
                <w:rFonts w:cstheme="minorHAnsi"/>
                <w:color w:val="333333"/>
                <w:sz w:val="21"/>
                <w:szCs w:val="21"/>
              </w:rPr>
              <w:t> </w:t>
            </w:r>
            <w:r w:rsidRPr="00A54B8B">
              <w:rPr>
                <w:rFonts w:cstheme="minorHAnsi"/>
                <w:color w:val="333333"/>
                <w:sz w:val="21"/>
                <w:szCs w:val="21"/>
              </w:rPr>
              <w:t>to one factor and a corresponding</w:t>
            </w:r>
            <w:r w:rsidRPr="00A54B8B">
              <w:rPr>
                <w:rStyle w:val="apple-converted-space"/>
                <w:rFonts w:cstheme="minorHAnsi"/>
                <w:color w:val="333333"/>
                <w:sz w:val="21"/>
                <w:szCs w:val="21"/>
              </w:rPr>
              <w:t> </w:t>
            </w:r>
            <w:r w:rsidRPr="00A54B8B">
              <w:rPr>
                <w:rStyle w:val="Emphasis"/>
                <w:rFonts w:cstheme="minorHAnsi"/>
                <w:color w:val="333333"/>
                <w:sz w:val="21"/>
                <w:szCs w:val="21"/>
              </w:rPr>
              <w:t>decrease</w:t>
            </w:r>
            <w:r w:rsidRPr="00A54B8B">
              <w:rPr>
                <w:rStyle w:val="apple-converted-space"/>
                <w:rFonts w:cstheme="minorHAnsi"/>
                <w:color w:val="333333"/>
                <w:sz w:val="21"/>
                <w:szCs w:val="21"/>
              </w:rPr>
              <w:t> </w:t>
            </w:r>
            <w:r w:rsidRPr="00A54B8B">
              <w:rPr>
                <w:rFonts w:cstheme="minorHAnsi"/>
                <w:color w:val="333333"/>
                <w:sz w:val="21"/>
                <w:szCs w:val="21"/>
              </w:rPr>
              <w:t>to the other factor, the product stays the same.</w:t>
            </w:r>
          </w:p>
          <w:p w:rsidR="00E50674" w:rsidRPr="00A54B8B" w:rsidRDefault="00700C39" w:rsidP="00A54B8B">
            <w:pPr>
              <w:numPr>
                <w:ilvl w:val="0"/>
                <w:numId w:val="16"/>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For division, if there is a multiplicative change to the dividend and a corresponding change to the divisor, the quotient stays the same.</w:t>
            </w:r>
          </w:p>
        </w:tc>
      </w:tr>
      <w:tr w:rsidR="006A512D" w:rsidRPr="00A54B8B" w:rsidTr="00F92AE4">
        <w:trPr>
          <w:cantSplit/>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 xml:space="preserve">2.19 </w:t>
            </w:r>
            <w:r w:rsidRPr="00D64A90">
              <w:rPr>
                <w:rFonts w:asciiTheme="minorHAnsi" w:hAnsiTheme="minorHAnsi" w:cstheme="minorHAnsi"/>
                <w:b/>
                <w:bCs/>
                <w:color w:val="333333"/>
                <w:sz w:val="21"/>
                <w:szCs w:val="21"/>
                <w:highlight w:val="yellow"/>
              </w:rPr>
              <w:t>Calculation: x/</w:t>
            </w:r>
            <w:r w:rsidRPr="00D64A90">
              <w:rPr>
                <w:rFonts w:asciiTheme="minorHAnsi" w:hAnsiTheme="minorHAnsi" w:cstheme="minorHAnsi"/>
                <w:b/>
                <w:bCs/>
                <w:color w:val="333333"/>
                <w:sz w:val="21"/>
                <w:szCs w:val="21"/>
                <w:highlight w:val="yellow"/>
              </w:rPr>
              <w:sym w:font="Symbol" w:char="F0B8"/>
            </w:r>
            <w:r w:rsidRPr="00D64A90">
              <w:rPr>
                <w:rFonts w:asciiTheme="minorHAnsi" w:hAnsiTheme="minorHAnsi" w:cstheme="minorHAnsi"/>
                <w:b/>
                <w:bCs/>
                <w:color w:val="333333"/>
                <w:sz w:val="21"/>
                <w:szCs w:val="21"/>
                <w:highlight w:val="yellow"/>
              </w:rPr>
              <w:t xml:space="preserve"> decimal fractions by whole numbers</w:t>
            </w:r>
            <w:r w:rsidR="00700C39" w:rsidRPr="00A54B8B">
              <w:rPr>
                <w:rFonts w:asciiTheme="minorHAnsi" w:hAnsiTheme="minorHAnsi" w:cstheme="minorHAnsi"/>
                <w:b/>
                <w:bCs/>
                <w:color w:val="333333"/>
                <w:sz w:val="21"/>
                <w:szCs w:val="21"/>
              </w:rPr>
              <w:t xml:space="preserve"> </w:t>
            </w:r>
            <w:r w:rsidR="00700C39" w:rsidRPr="00A54B8B">
              <w:rPr>
                <w:rFonts w:asciiTheme="minorHAnsi" w:hAnsiTheme="minorHAnsi" w:cstheme="minorHAnsi"/>
                <w:color w:val="333333"/>
                <w:sz w:val="21"/>
                <w:szCs w:val="21"/>
              </w:rPr>
              <w:t>Develop strategies for multiplying and dividing decimal fractions by whole numbers, including combining known facts with unitising, multiplying and dividing by 10 and 100, and using adjusting strategies</w:t>
            </w:r>
            <w:r w:rsidR="00A54B8B">
              <w:rPr>
                <w:rFonts w:asciiTheme="minorHAnsi" w:hAnsiTheme="minorHAnsi" w:cstheme="minorHAnsi"/>
                <w:color w:val="333333"/>
                <w:sz w:val="21"/>
                <w:szCs w:val="21"/>
              </w:rPr>
              <w:t>.</w:t>
            </w:r>
          </w:p>
          <w:p w:rsidR="00700C39" w:rsidRPr="00A54B8B" w:rsidRDefault="00700C39" w:rsidP="00A54B8B">
            <w:pPr>
              <w:numPr>
                <w:ilvl w:val="0"/>
                <w:numId w:val="17"/>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Decimal fractions (with a whole number of tenths or hundredths) can be multiplied by a whole number by using known multiplication facts and unitising.</w:t>
            </w:r>
          </w:p>
          <w:p w:rsidR="00700C39" w:rsidRPr="00A54B8B" w:rsidRDefault="00700C39" w:rsidP="00A54B8B">
            <w:pPr>
              <w:numPr>
                <w:ilvl w:val="0"/>
                <w:numId w:val="17"/>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Multiplying by 0.1 is equivalent to dividing by 10; multiplying by 0.01 is equivalent to dividing by 100. Understanding of place value can be used to divide a number by 10/100: when a number is divided by 10, the digits move one place to the right; when a number is divided by 100, the digits move two places to the right.</w:t>
            </w:r>
          </w:p>
          <w:p w:rsidR="00700C39" w:rsidRPr="00A54B8B" w:rsidRDefault="00700C39" w:rsidP="00A54B8B">
            <w:pPr>
              <w:numPr>
                <w:ilvl w:val="0"/>
                <w:numId w:val="17"/>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To multiply a single-digit number by a decimal fraction with up to two decimal places, convert the decimal fraction to an integer by multiplying by 10 or 100, perform the resulting calculation using an appropriate strategy, then adjust the product by dividing by 10 or 100.</w:t>
            </w:r>
          </w:p>
          <w:p w:rsidR="00700C39" w:rsidRPr="00A54B8B" w:rsidRDefault="00700C39" w:rsidP="00A54B8B">
            <w:pPr>
              <w:numPr>
                <w:ilvl w:val="0"/>
                <w:numId w:val="17"/>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If the multiplier is less than one, the product is less than the multiplicand; if the multiplier is greater than one, the product is greater than the multiplicand.</w:t>
            </w:r>
          </w:p>
          <w:p w:rsidR="001D0AFD" w:rsidRPr="00A54B8B" w:rsidRDefault="00700C39" w:rsidP="00A54B8B">
            <w:pPr>
              <w:numPr>
                <w:ilvl w:val="0"/>
                <w:numId w:val="17"/>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To divide any decimal fraction with up to two decimal places by a single-digit number, convert the decimal fraction to an integer by multiplying by 10 or 100, perform the resulting calculation using an appropriate strategy, then adjust the quotient by dividing by 10 or 100.</w:t>
            </w:r>
          </w:p>
        </w:tc>
      </w:tr>
      <w:tr w:rsidR="006A512D" w:rsidRPr="00A54B8B" w:rsidTr="00F92AE4">
        <w:trPr>
          <w:cantSplit/>
          <w:trHeight w:val="397"/>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 xml:space="preserve">2.20 </w:t>
            </w:r>
            <w:r w:rsidRPr="00D64A90">
              <w:rPr>
                <w:rFonts w:asciiTheme="minorHAnsi" w:hAnsiTheme="minorHAnsi" w:cstheme="minorHAnsi"/>
                <w:b/>
                <w:bCs/>
                <w:color w:val="333333"/>
                <w:sz w:val="21"/>
                <w:szCs w:val="21"/>
                <w:highlight w:val="yellow"/>
              </w:rPr>
              <w:t>Multiplication with three factors and volume</w:t>
            </w:r>
            <w:r w:rsidR="00700C39" w:rsidRPr="00A54B8B">
              <w:rPr>
                <w:rFonts w:asciiTheme="minorHAnsi" w:hAnsiTheme="minorHAnsi" w:cstheme="minorHAnsi"/>
                <w:b/>
                <w:bCs/>
                <w:color w:val="333333"/>
                <w:sz w:val="21"/>
                <w:szCs w:val="21"/>
              </w:rPr>
              <w:t xml:space="preserve"> </w:t>
            </w:r>
            <w:r w:rsidR="00700C39" w:rsidRPr="00A54B8B">
              <w:rPr>
                <w:rFonts w:asciiTheme="minorHAnsi" w:hAnsiTheme="minorHAnsi" w:cstheme="minorHAnsi"/>
                <w:color w:val="333333"/>
                <w:sz w:val="21"/>
                <w:szCs w:val="21"/>
              </w:rPr>
              <w:t>Use multiplication to calculate the volume of cuboids and shapes comprised of several cuboids; use division to solve associated inverse problems. Use associativity and commutativity to solve abstract multiplication problems with three factors.</w:t>
            </w:r>
          </w:p>
          <w:p w:rsidR="00700C39" w:rsidRPr="00A54B8B" w:rsidRDefault="00700C39" w:rsidP="00A54B8B">
            <w:pPr>
              <w:numPr>
                <w:ilvl w:val="0"/>
                <w:numId w:val="18"/>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Volume is the amount of space that something occupies.</w:t>
            </w:r>
          </w:p>
          <w:p w:rsidR="00700C39" w:rsidRPr="00A54B8B" w:rsidRDefault="00700C39" w:rsidP="00A54B8B">
            <w:pPr>
              <w:numPr>
                <w:ilvl w:val="0"/>
                <w:numId w:val="18"/>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Volume is measured in cubic units, such as cubic centimetres (cm</w:t>
            </w:r>
            <w:r w:rsidRPr="00A54B8B">
              <w:rPr>
                <w:rFonts w:cstheme="minorHAnsi"/>
                <w:color w:val="333333"/>
                <w:sz w:val="21"/>
                <w:szCs w:val="21"/>
                <w:vertAlign w:val="superscript"/>
              </w:rPr>
              <w:t>3</w:t>
            </w:r>
            <w:r w:rsidRPr="00A54B8B">
              <w:rPr>
                <w:rFonts w:cstheme="minorHAnsi"/>
                <w:color w:val="333333"/>
                <w:sz w:val="21"/>
                <w:szCs w:val="21"/>
              </w:rPr>
              <w:t>) and cubic metres (m</w:t>
            </w:r>
            <w:r w:rsidRPr="00A54B8B">
              <w:rPr>
                <w:rFonts w:cstheme="minorHAnsi"/>
                <w:color w:val="333333"/>
                <w:sz w:val="21"/>
                <w:szCs w:val="21"/>
                <w:vertAlign w:val="superscript"/>
              </w:rPr>
              <w:t>3</w:t>
            </w:r>
            <w:r w:rsidRPr="00A54B8B">
              <w:rPr>
                <w:rFonts w:cstheme="minorHAnsi"/>
                <w:color w:val="333333"/>
                <w:sz w:val="21"/>
                <w:szCs w:val="21"/>
              </w:rPr>
              <w:t>).</w:t>
            </w:r>
          </w:p>
          <w:p w:rsidR="00700C39" w:rsidRPr="00A54B8B" w:rsidRDefault="00700C39" w:rsidP="00A54B8B">
            <w:pPr>
              <w:numPr>
                <w:ilvl w:val="0"/>
                <w:numId w:val="18"/>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The volume of a cuboid can be calculated by multiplying the length, width and height.</w:t>
            </w:r>
          </w:p>
          <w:p w:rsidR="00700C39" w:rsidRPr="00A54B8B" w:rsidRDefault="00700C39" w:rsidP="00A54B8B">
            <w:pPr>
              <w:numPr>
                <w:ilvl w:val="0"/>
                <w:numId w:val="18"/>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Both the commutative law and the associative law can be applied when multiplying three or more numbers.</w:t>
            </w:r>
          </w:p>
          <w:p w:rsidR="0069327B" w:rsidRPr="00A54B8B" w:rsidRDefault="00700C39" w:rsidP="00A54B8B">
            <w:pPr>
              <w:numPr>
                <w:ilvl w:val="0"/>
                <w:numId w:val="18"/>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The choice of which order to multiply in can be made according to the simplest calculation.</w:t>
            </w:r>
          </w:p>
        </w:tc>
      </w:tr>
      <w:tr w:rsidR="006A512D" w:rsidRPr="00A54B8B" w:rsidTr="00F92AE4">
        <w:trPr>
          <w:cantSplit/>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Style w:val="Strong"/>
                <w:rFonts w:asciiTheme="minorHAnsi" w:hAnsiTheme="minorHAnsi" w:cstheme="minorHAnsi"/>
                <w:b w:val="0"/>
                <w:bCs w:val="0"/>
                <w:sz w:val="21"/>
                <w:szCs w:val="21"/>
              </w:rPr>
              <w:lastRenderedPageBreak/>
              <w:t>2</w:t>
            </w:r>
            <w:r w:rsidRPr="00A54B8B">
              <w:rPr>
                <w:rFonts w:asciiTheme="minorHAnsi" w:hAnsiTheme="minorHAnsi" w:cstheme="minorHAnsi"/>
                <w:b/>
                <w:bCs/>
                <w:color w:val="333333"/>
                <w:sz w:val="21"/>
                <w:szCs w:val="21"/>
              </w:rPr>
              <w:t xml:space="preserve">.21 </w:t>
            </w:r>
            <w:r w:rsidRPr="00D64A90">
              <w:rPr>
                <w:rFonts w:asciiTheme="minorHAnsi" w:hAnsiTheme="minorHAnsi" w:cstheme="minorHAnsi"/>
                <w:b/>
                <w:bCs/>
                <w:color w:val="333333"/>
                <w:sz w:val="21"/>
                <w:szCs w:val="21"/>
                <w:highlight w:val="yellow"/>
              </w:rPr>
              <w:t>Factors, multiples, prime numbers and composite numbers</w:t>
            </w:r>
            <w:r w:rsidR="00700C39" w:rsidRPr="00A54B8B">
              <w:rPr>
                <w:rFonts w:asciiTheme="minorHAnsi" w:hAnsiTheme="minorHAnsi" w:cstheme="minorHAnsi"/>
                <w:b/>
                <w:bCs/>
                <w:color w:val="333333"/>
                <w:sz w:val="21"/>
                <w:szCs w:val="21"/>
              </w:rPr>
              <w:t xml:space="preserve"> </w:t>
            </w:r>
            <w:r w:rsidR="00700C39" w:rsidRPr="00A54B8B">
              <w:rPr>
                <w:rFonts w:asciiTheme="minorHAnsi" w:hAnsiTheme="minorHAnsi" w:cstheme="minorHAnsi"/>
                <w:color w:val="333333"/>
                <w:sz w:val="21"/>
                <w:szCs w:val="21"/>
              </w:rPr>
              <w:t>Identify properties of factors and multiples including square and prime numbers, composite numbers, common and prime factors, and common multiples. Use factor pairs to solve problems efficiently</w:t>
            </w:r>
          </w:p>
          <w:p w:rsidR="00700C39"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Factors are positive integers that can be multiplied together to equal a given number.</w:t>
            </w:r>
          </w:p>
          <w:p w:rsidR="00700C39"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Systematic methods can be used to find all factors of a number; factors come in pairs; all positive integers have an even number of factors apart from square numbers, which have an odd number of factors; numbers with more than two factors are called composite numbers.</w:t>
            </w:r>
          </w:p>
          <w:p w:rsidR="00700C39"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Prime numbers are positive integers that have exactly two factors.</w:t>
            </w:r>
          </w:p>
          <w:p w:rsidR="00700C39"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A common factor is a factor that is shared by two or more numbers. A prime factor is a factor that is also a prime number.</w:t>
            </w:r>
          </w:p>
          <w:p w:rsidR="00700C39"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A multiple of a number is the product of that number and an integer; a common multiple is a multiple that is shared by two or more numbers.</w:t>
            </w:r>
          </w:p>
          <w:p w:rsidR="003E7B5D" w:rsidRPr="00A54B8B" w:rsidRDefault="00700C39" w:rsidP="00A54B8B">
            <w:pPr>
              <w:numPr>
                <w:ilvl w:val="0"/>
                <w:numId w:val="19"/>
              </w:numPr>
              <w:spacing w:before="60"/>
              <w:ind w:left="0"/>
              <w:rPr>
                <w:rFonts w:cstheme="minorHAnsi"/>
                <w:color w:val="333333"/>
                <w:sz w:val="21"/>
                <w:szCs w:val="21"/>
              </w:rPr>
            </w:pPr>
            <w:r w:rsidRPr="00A54B8B">
              <w:rPr>
                <w:rStyle w:val="Strong"/>
                <w:rFonts w:cstheme="minorHAnsi"/>
                <w:color w:val="333333"/>
                <w:sz w:val="21"/>
                <w:szCs w:val="21"/>
              </w:rPr>
              <w:t>Teaching point 6</w:t>
            </w:r>
            <w:r w:rsidRPr="00A54B8B">
              <w:rPr>
                <w:rFonts w:cstheme="minorHAnsi"/>
                <w:color w:val="333333"/>
                <w:sz w:val="21"/>
                <w:szCs w:val="21"/>
              </w:rPr>
              <w:t>: The factor pairs of ‘100’ can be used to support efficient calculation.</w:t>
            </w:r>
          </w:p>
        </w:tc>
      </w:tr>
      <w:tr w:rsidR="006A512D" w:rsidRPr="00A54B8B" w:rsidTr="00F92AE4">
        <w:trPr>
          <w:cantSplit/>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 xml:space="preserve">2.22 </w:t>
            </w:r>
            <w:r w:rsidRPr="00D64A90">
              <w:rPr>
                <w:rFonts w:asciiTheme="minorHAnsi" w:hAnsiTheme="minorHAnsi" w:cstheme="minorHAnsi"/>
                <w:b/>
                <w:bCs/>
                <w:color w:val="333333"/>
                <w:sz w:val="21"/>
                <w:szCs w:val="21"/>
                <w:highlight w:val="yellow"/>
              </w:rPr>
              <w:t>Combing multiplication with addition and subtraction</w:t>
            </w:r>
            <w:r w:rsidR="00700C39" w:rsidRPr="00A54B8B">
              <w:rPr>
                <w:rFonts w:asciiTheme="minorHAnsi" w:hAnsiTheme="minorHAnsi" w:cstheme="minorHAnsi"/>
                <w:b/>
                <w:bCs/>
                <w:color w:val="333333"/>
                <w:sz w:val="21"/>
                <w:szCs w:val="21"/>
              </w:rPr>
              <w:t xml:space="preserve"> </w:t>
            </w:r>
            <w:r w:rsidR="00700C39" w:rsidRPr="00A54B8B">
              <w:rPr>
                <w:rFonts w:asciiTheme="minorHAnsi" w:hAnsiTheme="minorHAnsi" w:cstheme="minorHAnsi"/>
                <w:color w:val="333333"/>
                <w:sz w:val="21"/>
                <w:szCs w:val="21"/>
              </w:rPr>
              <w:t>Learn to combine multiplication with addition or subtraction. Learn to use brackets to change the order of operations. Build on knowledge of the distributive law</w:t>
            </w:r>
            <w:r w:rsidR="00A54B8B">
              <w:rPr>
                <w:rFonts w:asciiTheme="minorHAnsi" w:hAnsiTheme="minorHAnsi" w:cstheme="minorHAnsi"/>
                <w:color w:val="333333"/>
                <w:sz w:val="21"/>
                <w:szCs w:val="21"/>
              </w:rPr>
              <w:t>.</w:t>
            </w:r>
          </w:p>
          <w:p w:rsidR="00700C39" w:rsidRPr="00A54B8B" w:rsidRDefault="00700C39" w:rsidP="00A54B8B">
            <w:pPr>
              <w:numPr>
                <w:ilvl w:val="0"/>
                <w:numId w:val="20"/>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Multiplication can be combined with addition and subtraction; when there are no brackets, multiplication is completed before addition or subtraction; when there are brackets, the calculation within the brackets is completed first.</w:t>
            </w:r>
          </w:p>
          <w:p w:rsidR="00E50674" w:rsidRPr="00A54B8B" w:rsidRDefault="00700C39" w:rsidP="00A54B8B">
            <w:pPr>
              <w:numPr>
                <w:ilvl w:val="0"/>
                <w:numId w:val="20"/>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When adding or subtracting multiplication expressions that have a common factor, the distributive law can be applied.</w:t>
            </w:r>
          </w:p>
        </w:tc>
      </w:tr>
      <w:tr w:rsidR="006A512D" w:rsidRPr="00A54B8B" w:rsidTr="00F92AE4">
        <w:trPr>
          <w:cantSplit/>
        </w:trPr>
        <w:tc>
          <w:tcPr>
            <w:tcW w:w="0" w:type="auto"/>
          </w:tcPr>
          <w:p w:rsidR="005C3E5F" w:rsidRPr="00A54B8B" w:rsidRDefault="001624C7" w:rsidP="00A54B8B">
            <w:pPr>
              <w:spacing w:before="60"/>
              <w:rPr>
                <w:rFonts w:cstheme="minorHAnsi"/>
                <w:bCs/>
                <w:i/>
                <w:color w:val="333333"/>
                <w:sz w:val="21"/>
                <w:szCs w:val="21"/>
              </w:rPr>
            </w:pPr>
            <w:r w:rsidRPr="00A54B8B">
              <w:rPr>
                <w:rFonts w:cstheme="minorHAnsi"/>
                <w:b/>
                <w:color w:val="1E6DB3"/>
                <w:sz w:val="21"/>
                <w:szCs w:val="21"/>
              </w:rPr>
              <w:t>Fractions</w:t>
            </w:r>
            <w:r w:rsidR="003E7B5D" w:rsidRPr="00A54B8B">
              <w:rPr>
                <w:rFonts w:cstheme="minorHAnsi"/>
                <w:bCs/>
                <w:i/>
                <w:color w:val="333333"/>
                <w:sz w:val="21"/>
                <w:szCs w:val="21"/>
              </w:rPr>
              <w:t xml:space="preserve"> </w:t>
            </w:r>
            <w:r w:rsidRPr="00A54B8B">
              <w:rPr>
                <w:rFonts w:cstheme="minorHAnsi"/>
                <w:bCs/>
                <w:i/>
                <w:color w:val="333333"/>
                <w:sz w:val="21"/>
                <w:szCs w:val="21"/>
              </w:rPr>
              <w:t>Segment 3.7 is sequenced after 2.21 because it requires children to be confident with the concept of factors.</w:t>
            </w:r>
            <w:r w:rsidR="006A512D" w:rsidRPr="00A54B8B">
              <w:rPr>
                <w:rFonts w:cstheme="minorHAnsi"/>
                <w:bCs/>
                <w:i/>
                <w:color w:val="333333"/>
                <w:sz w:val="21"/>
                <w:szCs w:val="21"/>
              </w:rPr>
              <w:t xml:space="preserve"> Segment 3.8 is sequenced after 2.21 because it requires children to be confident with the concept of common multiples.</w:t>
            </w:r>
          </w:p>
        </w:tc>
      </w:tr>
      <w:tr w:rsidR="006A512D" w:rsidRPr="00A54B8B" w:rsidTr="00F92AE4">
        <w:trPr>
          <w:cantSplit/>
        </w:trPr>
        <w:tc>
          <w:tcPr>
            <w:tcW w:w="0" w:type="auto"/>
          </w:tcPr>
          <w:p w:rsidR="00700C39" w:rsidRPr="00A54B8B" w:rsidRDefault="001624C7"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 xml:space="preserve">3.7 </w:t>
            </w:r>
            <w:r w:rsidRPr="00D64A90">
              <w:rPr>
                <w:rFonts w:asciiTheme="minorHAnsi" w:hAnsiTheme="minorHAnsi" w:cstheme="minorHAnsi"/>
                <w:b/>
                <w:bCs/>
                <w:color w:val="333333"/>
                <w:sz w:val="21"/>
                <w:szCs w:val="21"/>
                <w:highlight w:val="yellow"/>
              </w:rPr>
              <w:t>Finding equivalent</w:t>
            </w:r>
            <w:r w:rsidR="006A512D" w:rsidRPr="00D64A90">
              <w:rPr>
                <w:rFonts w:asciiTheme="minorHAnsi" w:hAnsiTheme="minorHAnsi" w:cstheme="minorHAnsi"/>
                <w:b/>
                <w:bCs/>
                <w:color w:val="333333"/>
                <w:sz w:val="21"/>
                <w:szCs w:val="21"/>
                <w:highlight w:val="yellow"/>
              </w:rPr>
              <w:t xml:space="preserve"> fractions and simplifying fractions</w:t>
            </w:r>
            <w:r w:rsidR="0085309A" w:rsidRPr="00A54B8B">
              <w:rPr>
                <w:rFonts w:asciiTheme="minorHAnsi" w:hAnsiTheme="minorHAnsi" w:cstheme="minorHAnsi"/>
                <w:color w:val="333333"/>
                <w:sz w:val="21"/>
                <w:szCs w:val="21"/>
                <w:shd w:val="clear" w:color="auto" w:fill="FFFFFF"/>
              </w:rPr>
              <w:t xml:space="preserve"> </w:t>
            </w:r>
            <w:r w:rsidR="00700C39" w:rsidRPr="00A54B8B">
              <w:rPr>
                <w:rFonts w:asciiTheme="minorHAnsi" w:hAnsiTheme="minorHAnsi" w:cstheme="minorHAnsi"/>
                <w:color w:val="333333"/>
                <w:sz w:val="21"/>
                <w:szCs w:val="21"/>
              </w:rPr>
              <w:t>Discover how equivalent fractions have the same proportional relationship between the numerator and denominator, and therefore have the same numerical value. Convert between equivalent fractions and simplify fractions</w:t>
            </w:r>
          </w:p>
          <w:p w:rsidR="00700C39" w:rsidRPr="00A54B8B" w:rsidRDefault="00700C39" w:rsidP="00A54B8B">
            <w:pPr>
              <w:numPr>
                <w:ilvl w:val="0"/>
                <w:numId w:val="21"/>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When two fractions have different numerators and denominators to one another but share the same numerical value, they are called ‘equivalent fractions’.</w:t>
            </w:r>
          </w:p>
          <w:p w:rsidR="00700C39" w:rsidRPr="00A54B8B" w:rsidRDefault="00700C39" w:rsidP="00A54B8B">
            <w:pPr>
              <w:numPr>
                <w:ilvl w:val="0"/>
                <w:numId w:val="21"/>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Equivalent fractions share the same proportional (multiplicative) relationship between the numerator and denominator. Equivalent fractions can be generated by maintaining that relationship through the process of multiplication and division.</w:t>
            </w:r>
          </w:p>
          <w:p w:rsidR="0069327B" w:rsidRPr="00A54B8B" w:rsidRDefault="00700C39" w:rsidP="00A54B8B">
            <w:pPr>
              <w:numPr>
                <w:ilvl w:val="0"/>
                <w:numId w:val="21"/>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Fractions can be simplified by dividing both the numerator and denominator by a common factor.</w:t>
            </w:r>
          </w:p>
        </w:tc>
      </w:tr>
      <w:tr w:rsidR="006A512D" w:rsidRPr="00A54B8B" w:rsidTr="00F92AE4">
        <w:trPr>
          <w:cantSplit/>
        </w:trPr>
        <w:tc>
          <w:tcPr>
            <w:tcW w:w="0" w:type="auto"/>
          </w:tcPr>
          <w:p w:rsidR="00700C39" w:rsidRPr="00A54B8B" w:rsidRDefault="006A512D" w:rsidP="00A54B8B">
            <w:pPr>
              <w:pStyle w:val="NormalWeb"/>
              <w:spacing w:before="60" w:beforeAutospacing="0" w:after="0" w:afterAutospacing="0"/>
              <w:rPr>
                <w:rFonts w:asciiTheme="minorHAnsi" w:hAnsiTheme="minorHAnsi" w:cstheme="minorHAnsi"/>
                <w:color w:val="333333"/>
                <w:sz w:val="21"/>
                <w:szCs w:val="21"/>
              </w:rPr>
            </w:pPr>
            <w:r w:rsidRPr="00A54B8B">
              <w:rPr>
                <w:rFonts w:asciiTheme="minorHAnsi" w:hAnsiTheme="minorHAnsi" w:cstheme="minorHAnsi"/>
                <w:b/>
                <w:bCs/>
                <w:color w:val="333333"/>
                <w:sz w:val="21"/>
                <w:szCs w:val="21"/>
              </w:rPr>
              <w:t xml:space="preserve">3.8 </w:t>
            </w:r>
            <w:r w:rsidRPr="00D64A90">
              <w:rPr>
                <w:rFonts w:asciiTheme="minorHAnsi" w:hAnsiTheme="minorHAnsi" w:cstheme="minorHAnsi"/>
                <w:b/>
                <w:bCs/>
                <w:color w:val="333333"/>
                <w:sz w:val="21"/>
                <w:szCs w:val="21"/>
                <w:highlight w:val="yellow"/>
              </w:rPr>
              <w:t>Common denomination: more adding and subtracting</w:t>
            </w:r>
            <w:r w:rsidR="00700C39" w:rsidRPr="00A54B8B">
              <w:rPr>
                <w:rFonts w:asciiTheme="minorHAnsi" w:hAnsiTheme="minorHAnsi" w:cstheme="minorHAnsi"/>
                <w:b/>
                <w:bCs/>
                <w:color w:val="333333"/>
                <w:sz w:val="21"/>
                <w:szCs w:val="21"/>
              </w:rPr>
              <w:tab/>
              <w:t xml:space="preserve"> </w:t>
            </w:r>
            <w:r w:rsidR="00700C39" w:rsidRPr="00A54B8B">
              <w:rPr>
                <w:rFonts w:asciiTheme="minorHAnsi" w:hAnsiTheme="minorHAnsi" w:cstheme="minorHAnsi"/>
                <w:color w:val="333333"/>
                <w:sz w:val="21"/>
                <w:szCs w:val="21"/>
              </w:rPr>
              <w:t>Learn to add and subtract fractions with different denominators by first finding a common denominator. Compare fractions using a range of methods, including converting to a common denominator</w:t>
            </w:r>
            <w:r w:rsidR="00A54B8B">
              <w:rPr>
                <w:rFonts w:asciiTheme="minorHAnsi" w:hAnsiTheme="minorHAnsi" w:cstheme="minorHAnsi"/>
                <w:color w:val="333333"/>
                <w:sz w:val="21"/>
                <w:szCs w:val="21"/>
              </w:rPr>
              <w:t>.</w:t>
            </w:r>
          </w:p>
          <w:p w:rsidR="00700C39" w:rsidRPr="00A54B8B" w:rsidRDefault="00700C39" w:rsidP="00A54B8B">
            <w:pPr>
              <w:numPr>
                <w:ilvl w:val="0"/>
                <w:numId w:val="22"/>
              </w:numPr>
              <w:spacing w:before="60"/>
              <w:ind w:left="0"/>
              <w:rPr>
                <w:rFonts w:cstheme="minorHAnsi"/>
                <w:color w:val="333333"/>
                <w:sz w:val="21"/>
                <w:szCs w:val="21"/>
              </w:rPr>
            </w:pPr>
            <w:r w:rsidRPr="00A54B8B">
              <w:rPr>
                <w:rStyle w:val="Strong"/>
                <w:rFonts w:cstheme="minorHAnsi"/>
                <w:color w:val="333333"/>
                <w:sz w:val="21"/>
                <w:szCs w:val="21"/>
              </w:rPr>
              <w:t>Teaching point 1</w:t>
            </w:r>
            <w:r w:rsidRPr="00A54B8B">
              <w:rPr>
                <w:rFonts w:cstheme="minorHAnsi"/>
                <w:color w:val="333333"/>
                <w:sz w:val="21"/>
                <w:szCs w:val="21"/>
              </w:rPr>
              <w:t>: In order to add related fractions, first convert one fraction so that both share the same denominator (a</w:t>
            </w:r>
            <w:r w:rsidRPr="00A54B8B">
              <w:rPr>
                <w:rStyle w:val="apple-converted-space"/>
                <w:rFonts w:cstheme="minorHAnsi"/>
                <w:color w:val="333333"/>
                <w:sz w:val="21"/>
                <w:szCs w:val="21"/>
              </w:rPr>
              <w:t> </w:t>
            </w:r>
            <w:r w:rsidRPr="00A54B8B">
              <w:rPr>
                <w:rStyle w:val="Emphasis"/>
                <w:rFonts w:cstheme="minorHAnsi"/>
                <w:color w:val="333333"/>
                <w:sz w:val="21"/>
                <w:szCs w:val="21"/>
              </w:rPr>
              <w:t>‘common denominator’</w:t>
            </w:r>
            <w:r w:rsidRPr="00A54B8B">
              <w:rPr>
                <w:rFonts w:cstheme="minorHAnsi"/>
                <w:color w:val="333333"/>
                <w:sz w:val="21"/>
                <w:szCs w:val="21"/>
              </w:rPr>
              <w:t>).</w:t>
            </w:r>
          </w:p>
          <w:p w:rsidR="00700C39" w:rsidRPr="00A54B8B" w:rsidRDefault="00700C39" w:rsidP="00A54B8B">
            <w:pPr>
              <w:numPr>
                <w:ilvl w:val="0"/>
                <w:numId w:val="22"/>
              </w:numPr>
              <w:spacing w:before="60"/>
              <w:ind w:left="0"/>
              <w:rPr>
                <w:rFonts w:cstheme="minorHAnsi"/>
                <w:color w:val="333333"/>
                <w:sz w:val="21"/>
                <w:szCs w:val="21"/>
              </w:rPr>
            </w:pPr>
            <w:r w:rsidRPr="00A54B8B">
              <w:rPr>
                <w:rStyle w:val="Strong"/>
                <w:rFonts w:cstheme="minorHAnsi"/>
                <w:color w:val="333333"/>
                <w:sz w:val="21"/>
                <w:szCs w:val="21"/>
              </w:rPr>
              <w:t>Teaching point 2</w:t>
            </w:r>
            <w:r w:rsidRPr="00A54B8B">
              <w:rPr>
                <w:rFonts w:cstheme="minorHAnsi"/>
                <w:color w:val="333333"/>
                <w:sz w:val="21"/>
                <w:szCs w:val="21"/>
              </w:rPr>
              <w:t>: To subtract related fractions, first convert one fraction so that both share a common denominator.</w:t>
            </w:r>
          </w:p>
          <w:p w:rsidR="00700C39" w:rsidRPr="00A54B8B" w:rsidRDefault="00700C39" w:rsidP="00A54B8B">
            <w:pPr>
              <w:numPr>
                <w:ilvl w:val="0"/>
                <w:numId w:val="22"/>
              </w:numPr>
              <w:spacing w:before="60"/>
              <w:ind w:left="0"/>
              <w:rPr>
                <w:rFonts w:cstheme="minorHAnsi"/>
                <w:color w:val="333333"/>
                <w:sz w:val="21"/>
                <w:szCs w:val="21"/>
              </w:rPr>
            </w:pPr>
            <w:r w:rsidRPr="00A54B8B">
              <w:rPr>
                <w:rStyle w:val="Strong"/>
                <w:rFonts w:cstheme="minorHAnsi"/>
                <w:color w:val="333333"/>
                <w:sz w:val="21"/>
                <w:szCs w:val="21"/>
              </w:rPr>
              <w:t>Teaching point 3</w:t>
            </w:r>
            <w:r w:rsidRPr="00A54B8B">
              <w:rPr>
                <w:rFonts w:cstheme="minorHAnsi"/>
                <w:color w:val="333333"/>
                <w:sz w:val="21"/>
                <w:szCs w:val="21"/>
              </w:rPr>
              <w:t>: The common denominator method can be extended to adding and subtracting non unit related fractions.</w:t>
            </w:r>
          </w:p>
          <w:p w:rsidR="00700C39" w:rsidRPr="00A54B8B" w:rsidRDefault="00700C39" w:rsidP="00A54B8B">
            <w:pPr>
              <w:numPr>
                <w:ilvl w:val="0"/>
                <w:numId w:val="22"/>
              </w:numPr>
              <w:spacing w:before="60"/>
              <w:ind w:left="0"/>
              <w:rPr>
                <w:rFonts w:cstheme="minorHAnsi"/>
                <w:color w:val="333333"/>
                <w:sz w:val="21"/>
                <w:szCs w:val="21"/>
              </w:rPr>
            </w:pPr>
            <w:r w:rsidRPr="00A54B8B">
              <w:rPr>
                <w:rStyle w:val="Strong"/>
                <w:rFonts w:cstheme="minorHAnsi"/>
                <w:color w:val="333333"/>
                <w:sz w:val="21"/>
                <w:szCs w:val="21"/>
              </w:rPr>
              <w:t>Teaching point 4</w:t>
            </w:r>
            <w:r w:rsidRPr="00A54B8B">
              <w:rPr>
                <w:rFonts w:cstheme="minorHAnsi"/>
                <w:color w:val="333333"/>
                <w:sz w:val="21"/>
                <w:szCs w:val="21"/>
              </w:rPr>
              <w:t>: To add and subtract</w:t>
            </w:r>
            <w:r w:rsidRPr="00A54B8B">
              <w:rPr>
                <w:rStyle w:val="apple-converted-space"/>
                <w:rFonts w:cstheme="minorHAnsi"/>
                <w:color w:val="333333"/>
                <w:sz w:val="21"/>
                <w:szCs w:val="21"/>
              </w:rPr>
              <w:t> </w:t>
            </w:r>
            <w:r w:rsidRPr="00A54B8B">
              <w:rPr>
                <w:rStyle w:val="Emphasis"/>
                <w:rFonts w:cstheme="minorHAnsi"/>
                <w:color w:val="333333"/>
                <w:sz w:val="21"/>
                <w:szCs w:val="21"/>
              </w:rPr>
              <w:t>non-related</w:t>
            </w:r>
            <w:r w:rsidRPr="00A54B8B">
              <w:rPr>
                <w:rStyle w:val="apple-converted-space"/>
                <w:rFonts w:cstheme="minorHAnsi"/>
                <w:color w:val="333333"/>
                <w:sz w:val="21"/>
                <w:szCs w:val="21"/>
              </w:rPr>
              <w:t> </w:t>
            </w:r>
            <w:r w:rsidRPr="00A54B8B">
              <w:rPr>
                <w:rFonts w:cstheme="minorHAnsi"/>
                <w:color w:val="333333"/>
                <w:sz w:val="21"/>
                <w:szCs w:val="21"/>
              </w:rPr>
              <w:t>fractions, the product of the two denominators provides a common denominator.</w:t>
            </w:r>
          </w:p>
          <w:p w:rsidR="0085309A" w:rsidRPr="00A54B8B" w:rsidRDefault="00700C39" w:rsidP="00A54B8B">
            <w:pPr>
              <w:numPr>
                <w:ilvl w:val="0"/>
                <w:numId w:val="22"/>
              </w:numPr>
              <w:spacing w:before="60"/>
              <w:ind w:left="0"/>
              <w:rPr>
                <w:rFonts w:cstheme="minorHAnsi"/>
                <w:color w:val="333333"/>
                <w:sz w:val="21"/>
                <w:szCs w:val="21"/>
              </w:rPr>
            </w:pPr>
            <w:r w:rsidRPr="00A54B8B">
              <w:rPr>
                <w:rStyle w:val="Strong"/>
                <w:rFonts w:cstheme="minorHAnsi"/>
                <w:color w:val="333333"/>
                <w:sz w:val="21"/>
                <w:szCs w:val="21"/>
              </w:rPr>
              <w:t>Teaching point 5</w:t>
            </w:r>
            <w:r w:rsidRPr="00A54B8B">
              <w:rPr>
                <w:rFonts w:cstheme="minorHAnsi"/>
                <w:color w:val="333333"/>
                <w:sz w:val="21"/>
                <w:szCs w:val="21"/>
              </w:rPr>
              <w:t>: Converting to common denominators is one of several methods that can be used to compare fractions.</w:t>
            </w:r>
          </w:p>
        </w:tc>
      </w:tr>
    </w:tbl>
    <w:p w:rsidR="00131928" w:rsidRPr="00A54B8B" w:rsidRDefault="00131928" w:rsidP="00A54B8B">
      <w:pPr>
        <w:spacing w:before="60"/>
        <w:rPr>
          <w:rFonts w:cstheme="minorHAnsi"/>
          <w:sz w:val="21"/>
          <w:szCs w:val="21"/>
        </w:rPr>
      </w:pPr>
    </w:p>
    <w:sectPr w:rsidR="00131928" w:rsidRPr="00A54B8B" w:rsidSect="00A45868">
      <w:headerReference w:type="even" r:id="rId7"/>
      <w:headerReference w:type="default" r:id="rId8"/>
      <w:footerReference w:type="even" r:id="rId9"/>
      <w:footerReference w:type="default" r:id="rId10"/>
      <w:pgSz w:w="16840" w:h="11900" w:orient="landscape"/>
      <w:pgMar w:top="720" w:right="720" w:bottom="720" w:left="720"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45E" w:rsidRDefault="0095445E" w:rsidP="004F5689">
      <w:r>
        <w:separator/>
      </w:r>
    </w:p>
  </w:endnote>
  <w:endnote w:type="continuationSeparator" w:id="0">
    <w:p w:rsidR="0095445E" w:rsidRDefault="0095445E" w:rsidP="004F5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5082452"/>
      <w:docPartObj>
        <w:docPartGallery w:val="Page Numbers (Bottom of Page)"/>
        <w:docPartUnique/>
      </w:docPartObj>
    </w:sdtPr>
    <w:sdtEndPr>
      <w:rPr>
        <w:rStyle w:val="PageNumber"/>
      </w:rPr>
    </w:sdtEndPr>
    <w:sdtContent>
      <w:p w:rsidR="004F5689" w:rsidRDefault="004F5689" w:rsidP="00F879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5689" w:rsidRDefault="004F5689" w:rsidP="004F56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689" w:rsidRDefault="003E7B5D" w:rsidP="004F5689">
    <w:pPr>
      <w:pStyle w:val="Footer"/>
      <w:ind w:right="360"/>
    </w:pPr>
    <w:r>
      <w:tab/>
    </w:r>
    <w:r>
      <w:tab/>
    </w:r>
    <w:r>
      <w:tab/>
    </w:r>
    <w:r>
      <w:tab/>
    </w:r>
    <w:r>
      <w:tab/>
    </w:r>
    <w:r>
      <w:tab/>
    </w:r>
    <w:r>
      <w:rPr>
        <w:rFonts w:ascii="Calibri" w:hAnsi="Calibri" w:cs="Calibri"/>
        <w:noProof/>
        <w:color w:val="000000"/>
        <w:lang w:eastAsia="en-GB"/>
      </w:rPr>
      <w:drawing>
        <wp:inline distT="0" distB="0" distL="0" distR="0" wp14:anchorId="06D8EFD2" wp14:editId="2E5A09FC">
          <wp:extent cx="872234" cy="280889"/>
          <wp:effectExtent l="0" t="0" r="4445" b="0"/>
          <wp:docPr id="2" name="Picture 2" descr="cid:73294b02-32f5-4c19-9d3c-2f71d0804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2716_rs|3" descr="cid:73294b02-32f5-4c19-9d3c-2f71d08047e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903895" cy="2910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45E" w:rsidRDefault="0095445E" w:rsidP="004F5689">
      <w:r>
        <w:separator/>
      </w:r>
    </w:p>
  </w:footnote>
  <w:footnote w:type="continuationSeparator" w:id="0">
    <w:p w:rsidR="0095445E" w:rsidRDefault="0095445E" w:rsidP="004F5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01040496"/>
      <w:docPartObj>
        <w:docPartGallery w:val="Page Numbers (Top of Page)"/>
        <w:docPartUnique/>
      </w:docPartObj>
    </w:sdtPr>
    <w:sdtEndPr>
      <w:rPr>
        <w:rStyle w:val="PageNumber"/>
      </w:rPr>
    </w:sdtEndPr>
    <w:sdtContent>
      <w:p w:rsidR="00A519BD" w:rsidRDefault="00A519BD" w:rsidP="00A34C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335075"/>
      <w:docPartObj>
        <w:docPartGallery w:val="Page Numbers (Top of Page)"/>
        <w:docPartUnique/>
      </w:docPartObj>
    </w:sdtPr>
    <w:sdtEndPr>
      <w:rPr>
        <w:rStyle w:val="PageNumber"/>
      </w:rPr>
    </w:sdtEndPr>
    <w:sdtContent>
      <w:p w:rsidR="00A519BD" w:rsidRDefault="00A519BD" w:rsidP="00A519BD">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519BD" w:rsidRDefault="00A519BD" w:rsidP="00A519B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1"/>
        <w:szCs w:val="21"/>
      </w:rPr>
      <w:id w:val="-691530941"/>
      <w:docPartObj>
        <w:docPartGallery w:val="Page Numbers (Top of Page)"/>
        <w:docPartUnique/>
      </w:docPartObj>
    </w:sdtPr>
    <w:sdtEndPr>
      <w:rPr>
        <w:rStyle w:val="PageNumber"/>
      </w:rPr>
    </w:sdtEndPr>
    <w:sdtContent>
      <w:p w:rsidR="00A519BD" w:rsidRPr="003E7B5D" w:rsidRDefault="00A519BD" w:rsidP="00A34C2E">
        <w:pPr>
          <w:pStyle w:val="Header"/>
          <w:framePr w:wrap="none" w:vAnchor="text" w:hAnchor="margin" w:xAlign="right" w:y="1"/>
          <w:rPr>
            <w:rStyle w:val="PageNumber"/>
            <w:sz w:val="21"/>
            <w:szCs w:val="21"/>
          </w:rPr>
        </w:pPr>
        <w:r w:rsidRPr="003E7B5D">
          <w:rPr>
            <w:rStyle w:val="PageNumber"/>
            <w:sz w:val="21"/>
            <w:szCs w:val="21"/>
          </w:rPr>
          <w:fldChar w:fldCharType="begin"/>
        </w:r>
        <w:r w:rsidRPr="003E7B5D">
          <w:rPr>
            <w:rStyle w:val="PageNumber"/>
            <w:sz w:val="21"/>
            <w:szCs w:val="21"/>
          </w:rPr>
          <w:instrText xml:space="preserve"> PAGE </w:instrText>
        </w:r>
        <w:r w:rsidRPr="003E7B5D">
          <w:rPr>
            <w:rStyle w:val="PageNumber"/>
            <w:sz w:val="21"/>
            <w:szCs w:val="21"/>
          </w:rPr>
          <w:fldChar w:fldCharType="separate"/>
        </w:r>
        <w:r w:rsidR="00EA30CB">
          <w:rPr>
            <w:rStyle w:val="PageNumber"/>
            <w:noProof/>
            <w:sz w:val="21"/>
            <w:szCs w:val="21"/>
          </w:rPr>
          <w:t>2</w:t>
        </w:r>
        <w:r w:rsidRPr="003E7B5D">
          <w:rPr>
            <w:rStyle w:val="PageNumber"/>
            <w:sz w:val="21"/>
            <w:szCs w:val="21"/>
          </w:rPr>
          <w:fldChar w:fldCharType="end"/>
        </w:r>
      </w:p>
    </w:sdtContent>
  </w:sdt>
  <w:p w:rsidR="00A519BD" w:rsidRPr="003E7B5D" w:rsidRDefault="00A519BD" w:rsidP="00A519BD">
    <w:pPr>
      <w:ind w:right="360"/>
      <w:rPr>
        <w:sz w:val="21"/>
        <w:szCs w:val="21"/>
      </w:rPr>
    </w:pPr>
    <w:r w:rsidRPr="003E7B5D">
      <w:rPr>
        <w:sz w:val="21"/>
        <w:szCs w:val="21"/>
      </w:rPr>
      <w:t xml:space="preserve">NCETM  Cross Spine segment sequencing Year </w:t>
    </w:r>
    <w:r w:rsidR="009879BF">
      <w:rPr>
        <w:sz w:val="21"/>
        <w:szCs w:val="21"/>
      </w:rPr>
      <w:t>5</w:t>
    </w:r>
    <w:r w:rsidRPr="003E7B5D">
      <w:rPr>
        <w:sz w:val="21"/>
        <w:szCs w:val="21"/>
      </w:rPr>
      <w:t xml:space="preserve"> </w:t>
    </w:r>
    <w:hyperlink r:id="rId1" w:history="1">
      <w:r w:rsidRPr="003E7B5D">
        <w:rPr>
          <w:rStyle w:val="Hyperlink"/>
          <w:sz w:val="21"/>
          <w:szCs w:val="21"/>
        </w:rPr>
        <w:t>https://www.ncetm.org.uk/files/109551480/ncetm_primarymasterypd_teaching_sequence.pdf</w:t>
      </w:r>
    </w:hyperlink>
    <w:r w:rsidRPr="003E7B5D">
      <w:rPr>
        <w:sz w:val="21"/>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957"/>
    <w:multiLevelType w:val="multilevel"/>
    <w:tmpl w:val="809E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75209"/>
    <w:multiLevelType w:val="multilevel"/>
    <w:tmpl w:val="C7F6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30CCE"/>
    <w:multiLevelType w:val="multilevel"/>
    <w:tmpl w:val="DBC8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C0F5B"/>
    <w:multiLevelType w:val="multilevel"/>
    <w:tmpl w:val="76D8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75228"/>
    <w:multiLevelType w:val="multilevel"/>
    <w:tmpl w:val="3D9C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24B22"/>
    <w:multiLevelType w:val="multilevel"/>
    <w:tmpl w:val="156E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77227"/>
    <w:multiLevelType w:val="multilevel"/>
    <w:tmpl w:val="33D2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E6AF7"/>
    <w:multiLevelType w:val="multilevel"/>
    <w:tmpl w:val="CB0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47DF1"/>
    <w:multiLevelType w:val="multilevel"/>
    <w:tmpl w:val="BC80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E52B3"/>
    <w:multiLevelType w:val="multilevel"/>
    <w:tmpl w:val="E946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DB114C"/>
    <w:multiLevelType w:val="multilevel"/>
    <w:tmpl w:val="6EAA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F11A53"/>
    <w:multiLevelType w:val="multilevel"/>
    <w:tmpl w:val="4A4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11DC6"/>
    <w:multiLevelType w:val="multilevel"/>
    <w:tmpl w:val="CFE0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66BF9"/>
    <w:multiLevelType w:val="multilevel"/>
    <w:tmpl w:val="069C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013116"/>
    <w:multiLevelType w:val="multilevel"/>
    <w:tmpl w:val="AF78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6069E"/>
    <w:multiLevelType w:val="multilevel"/>
    <w:tmpl w:val="2FE2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46033"/>
    <w:multiLevelType w:val="multilevel"/>
    <w:tmpl w:val="947C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7A6E76"/>
    <w:multiLevelType w:val="multilevel"/>
    <w:tmpl w:val="EE2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71A51"/>
    <w:multiLevelType w:val="multilevel"/>
    <w:tmpl w:val="74AC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B7A75"/>
    <w:multiLevelType w:val="multilevel"/>
    <w:tmpl w:val="5E54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D2459B"/>
    <w:multiLevelType w:val="multilevel"/>
    <w:tmpl w:val="359C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053E2D"/>
    <w:multiLevelType w:val="multilevel"/>
    <w:tmpl w:val="05B8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9"/>
  </w:num>
  <w:num w:numId="4">
    <w:abstractNumId w:val="18"/>
  </w:num>
  <w:num w:numId="5">
    <w:abstractNumId w:val="17"/>
  </w:num>
  <w:num w:numId="6">
    <w:abstractNumId w:val="7"/>
  </w:num>
  <w:num w:numId="7">
    <w:abstractNumId w:val="21"/>
  </w:num>
  <w:num w:numId="8">
    <w:abstractNumId w:val="15"/>
  </w:num>
  <w:num w:numId="9">
    <w:abstractNumId w:val="6"/>
  </w:num>
  <w:num w:numId="10">
    <w:abstractNumId w:val="20"/>
  </w:num>
  <w:num w:numId="11">
    <w:abstractNumId w:val="12"/>
  </w:num>
  <w:num w:numId="12">
    <w:abstractNumId w:val="3"/>
  </w:num>
  <w:num w:numId="13">
    <w:abstractNumId w:val="9"/>
  </w:num>
  <w:num w:numId="14">
    <w:abstractNumId w:val="4"/>
  </w:num>
  <w:num w:numId="15">
    <w:abstractNumId w:val="14"/>
  </w:num>
  <w:num w:numId="16">
    <w:abstractNumId w:val="11"/>
  </w:num>
  <w:num w:numId="17">
    <w:abstractNumId w:val="2"/>
  </w:num>
  <w:num w:numId="18">
    <w:abstractNumId w:val="8"/>
  </w:num>
  <w:num w:numId="19">
    <w:abstractNumId w:val="10"/>
  </w:num>
  <w:num w:numId="20">
    <w:abstractNumId w:val="13"/>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9BF"/>
    <w:rsid w:val="00131928"/>
    <w:rsid w:val="001624C7"/>
    <w:rsid w:val="001A177D"/>
    <w:rsid w:val="001D0AFD"/>
    <w:rsid w:val="002913C5"/>
    <w:rsid w:val="002F676D"/>
    <w:rsid w:val="00387B01"/>
    <w:rsid w:val="003E7B5D"/>
    <w:rsid w:val="004F5689"/>
    <w:rsid w:val="004F6A5F"/>
    <w:rsid w:val="00523A39"/>
    <w:rsid w:val="00563ED3"/>
    <w:rsid w:val="005C3E5F"/>
    <w:rsid w:val="00640B56"/>
    <w:rsid w:val="0069327B"/>
    <w:rsid w:val="006A512D"/>
    <w:rsid w:val="00700C39"/>
    <w:rsid w:val="007074D0"/>
    <w:rsid w:val="00824925"/>
    <w:rsid w:val="0082710E"/>
    <w:rsid w:val="0085309A"/>
    <w:rsid w:val="0095445E"/>
    <w:rsid w:val="00956ABE"/>
    <w:rsid w:val="009879BF"/>
    <w:rsid w:val="00A232A9"/>
    <w:rsid w:val="00A45868"/>
    <w:rsid w:val="00A519BD"/>
    <w:rsid w:val="00A54B8B"/>
    <w:rsid w:val="00C22134"/>
    <w:rsid w:val="00D64A90"/>
    <w:rsid w:val="00E20B6F"/>
    <w:rsid w:val="00E50674"/>
    <w:rsid w:val="00EA30CB"/>
    <w:rsid w:val="00F92AE4"/>
    <w:rsid w:val="00FC7200"/>
    <w:rsid w:val="00FD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E410F8-0E37-6F4B-B880-9F5B1D92E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3192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319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1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1928"/>
    <w:rPr>
      <w:b/>
      <w:bCs/>
    </w:rPr>
  </w:style>
  <w:style w:type="character" w:customStyle="1" w:styleId="apple-converted-space">
    <w:name w:val="apple-converted-space"/>
    <w:basedOn w:val="DefaultParagraphFont"/>
    <w:rsid w:val="00131928"/>
  </w:style>
  <w:style w:type="character" w:customStyle="1" w:styleId="Heading1Char">
    <w:name w:val="Heading 1 Char"/>
    <w:basedOn w:val="DefaultParagraphFont"/>
    <w:link w:val="Heading1"/>
    <w:uiPriority w:val="9"/>
    <w:rsid w:val="0013192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13192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F6A5F"/>
    <w:rPr>
      <w:i/>
      <w:iCs/>
    </w:rPr>
  </w:style>
  <w:style w:type="paragraph" w:styleId="Footer">
    <w:name w:val="footer"/>
    <w:basedOn w:val="Normal"/>
    <w:link w:val="FooterChar"/>
    <w:uiPriority w:val="99"/>
    <w:unhideWhenUsed/>
    <w:rsid w:val="004F5689"/>
    <w:pPr>
      <w:tabs>
        <w:tab w:val="center" w:pos="4680"/>
        <w:tab w:val="right" w:pos="9360"/>
      </w:tabs>
    </w:pPr>
  </w:style>
  <w:style w:type="character" w:customStyle="1" w:styleId="FooterChar">
    <w:name w:val="Footer Char"/>
    <w:basedOn w:val="DefaultParagraphFont"/>
    <w:link w:val="Footer"/>
    <w:uiPriority w:val="99"/>
    <w:rsid w:val="004F5689"/>
  </w:style>
  <w:style w:type="character" w:styleId="PageNumber">
    <w:name w:val="page number"/>
    <w:basedOn w:val="DefaultParagraphFont"/>
    <w:uiPriority w:val="99"/>
    <w:semiHidden/>
    <w:unhideWhenUsed/>
    <w:rsid w:val="004F5689"/>
  </w:style>
  <w:style w:type="paragraph" w:styleId="Header">
    <w:name w:val="header"/>
    <w:basedOn w:val="Normal"/>
    <w:link w:val="HeaderChar"/>
    <w:uiPriority w:val="99"/>
    <w:unhideWhenUsed/>
    <w:rsid w:val="00A519BD"/>
    <w:pPr>
      <w:tabs>
        <w:tab w:val="center" w:pos="4680"/>
        <w:tab w:val="right" w:pos="9360"/>
      </w:tabs>
    </w:pPr>
  </w:style>
  <w:style w:type="character" w:customStyle="1" w:styleId="HeaderChar">
    <w:name w:val="Header Char"/>
    <w:basedOn w:val="DefaultParagraphFont"/>
    <w:link w:val="Header"/>
    <w:uiPriority w:val="99"/>
    <w:rsid w:val="00A519BD"/>
  </w:style>
  <w:style w:type="character" w:styleId="Hyperlink">
    <w:name w:val="Hyperlink"/>
    <w:basedOn w:val="DefaultParagraphFont"/>
    <w:uiPriority w:val="99"/>
    <w:unhideWhenUsed/>
    <w:rsid w:val="00A519BD"/>
    <w:rPr>
      <w:color w:val="0563C1" w:themeColor="hyperlink"/>
      <w:u w:val="single"/>
    </w:rPr>
  </w:style>
  <w:style w:type="character" w:customStyle="1" w:styleId="UnresolvedMention">
    <w:name w:val="Unresolved Mention"/>
    <w:basedOn w:val="DefaultParagraphFont"/>
    <w:uiPriority w:val="99"/>
    <w:semiHidden/>
    <w:unhideWhenUsed/>
    <w:rsid w:val="00A519BD"/>
    <w:rPr>
      <w:color w:val="605E5C"/>
      <w:shd w:val="clear" w:color="auto" w:fill="E1DFDD"/>
    </w:rPr>
  </w:style>
  <w:style w:type="paragraph" w:styleId="NoSpacing">
    <w:name w:val="No Spacing"/>
    <w:uiPriority w:val="1"/>
    <w:qFormat/>
    <w:rsid w:val="003E7B5D"/>
    <w:rPr>
      <w:rFonts w:eastAsiaTheme="minorEastAsia"/>
      <w:sz w:val="22"/>
      <w:szCs w:val="22"/>
      <w:lang w:val="en-US" w:eastAsia="zh-CN"/>
    </w:rPr>
  </w:style>
  <w:style w:type="paragraph" w:styleId="NormalWeb">
    <w:name w:val="Normal (Web)"/>
    <w:basedOn w:val="Normal"/>
    <w:uiPriority w:val="99"/>
    <w:unhideWhenUsed/>
    <w:rsid w:val="00700C3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4199">
      <w:bodyDiv w:val="1"/>
      <w:marLeft w:val="0"/>
      <w:marRight w:val="0"/>
      <w:marTop w:val="0"/>
      <w:marBottom w:val="0"/>
      <w:divBdr>
        <w:top w:val="none" w:sz="0" w:space="0" w:color="auto"/>
        <w:left w:val="none" w:sz="0" w:space="0" w:color="auto"/>
        <w:bottom w:val="none" w:sz="0" w:space="0" w:color="auto"/>
        <w:right w:val="none" w:sz="0" w:space="0" w:color="auto"/>
      </w:divBdr>
    </w:div>
    <w:div w:id="30496379">
      <w:bodyDiv w:val="1"/>
      <w:marLeft w:val="0"/>
      <w:marRight w:val="0"/>
      <w:marTop w:val="0"/>
      <w:marBottom w:val="0"/>
      <w:divBdr>
        <w:top w:val="none" w:sz="0" w:space="0" w:color="auto"/>
        <w:left w:val="none" w:sz="0" w:space="0" w:color="auto"/>
        <w:bottom w:val="none" w:sz="0" w:space="0" w:color="auto"/>
        <w:right w:val="none" w:sz="0" w:space="0" w:color="auto"/>
      </w:divBdr>
      <w:divsChild>
        <w:div w:id="309598153">
          <w:marLeft w:val="0"/>
          <w:marRight w:val="0"/>
          <w:marTop w:val="0"/>
          <w:marBottom w:val="0"/>
          <w:divBdr>
            <w:top w:val="none" w:sz="0" w:space="0" w:color="auto"/>
            <w:left w:val="none" w:sz="0" w:space="0" w:color="auto"/>
            <w:bottom w:val="none" w:sz="0" w:space="0" w:color="auto"/>
            <w:right w:val="none" w:sz="0" w:space="0" w:color="auto"/>
          </w:divBdr>
        </w:div>
      </w:divsChild>
    </w:div>
    <w:div w:id="93132303">
      <w:bodyDiv w:val="1"/>
      <w:marLeft w:val="0"/>
      <w:marRight w:val="0"/>
      <w:marTop w:val="0"/>
      <w:marBottom w:val="0"/>
      <w:divBdr>
        <w:top w:val="none" w:sz="0" w:space="0" w:color="auto"/>
        <w:left w:val="none" w:sz="0" w:space="0" w:color="auto"/>
        <w:bottom w:val="none" w:sz="0" w:space="0" w:color="auto"/>
        <w:right w:val="none" w:sz="0" w:space="0" w:color="auto"/>
      </w:divBdr>
    </w:div>
    <w:div w:id="104425087">
      <w:bodyDiv w:val="1"/>
      <w:marLeft w:val="0"/>
      <w:marRight w:val="0"/>
      <w:marTop w:val="0"/>
      <w:marBottom w:val="0"/>
      <w:divBdr>
        <w:top w:val="none" w:sz="0" w:space="0" w:color="auto"/>
        <w:left w:val="none" w:sz="0" w:space="0" w:color="auto"/>
        <w:bottom w:val="none" w:sz="0" w:space="0" w:color="auto"/>
        <w:right w:val="none" w:sz="0" w:space="0" w:color="auto"/>
      </w:divBdr>
    </w:div>
    <w:div w:id="123929990">
      <w:bodyDiv w:val="1"/>
      <w:marLeft w:val="0"/>
      <w:marRight w:val="0"/>
      <w:marTop w:val="0"/>
      <w:marBottom w:val="0"/>
      <w:divBdr>
        <w:top w:val="none" w:sz="0" w:space="0" w:color="auto"/>
        <w:left w:val="none" w:sz="0" w:space="0" w:color="auto"/>
        <w:bottom w:val="none" w:sz="0" w:space="0" w:color="auto"/>
        <w:right w:val="none" w:sz="0" w:space="0" w:color="auto"/>
      </w:divBdr>
    </w:div>
    <w:div w:id="201019121">
      <w:bodyDiv w:val="1"/>
      <w:marLeft w:val="0"/>
      <w:marRight w:val="0"/>
      <w:marTop w:val="0"/>
      <w:marBottom w:val="0"/>
      <w:divBdr>
        <w:top w:val="none" w:sz="0" w:space="0" w:color="auto"/>
        <w:left w:val="none" w:sz="0" w:space="0" w:color="auto"/>
        <w:bottom w:val="none" w:sz="0" w:space="0" w:color="auto"/>
        <w:right w:val="none" w:sz="0" w:space="0" w:color="auto"/>
      </w:divBdr>
    </w:div>
    <w:div w:id="252935981">
      <w:bodyDiv w:val="1"/>
      <w:marLeft w:val="0"/>
      <w:marRight w:val="0"/>
      <w:marTop w:val="0"/>
      <w:marBottom w:val="0"/>
      <w:divBdr>
        <w:top w:val="none" w:sz="0" w:space="0" w:color="auto"/>
        <w:left w:val="none" w:sz="0" w:space="0" w:color="auto"/>
        <w:bottom w:val="none" w:sz="0" w:space="0" w:color="auto"/>
        <w:right w:val="none" w:sz="0" w:space="0" w:color="auto"/>
      </w:divBdr>
    </w:div>
    <w:div w:id="261956980">
      <w:bodyDiv w:val="1"/>
      <w:marLeft w:val="0"/>
      <w:marRight w:val="0"/>
      <w:marTop w:val="0"/>
      <w:marBottom w:val="0"/>
      <w:divBdr>
        <w:top w:val="none" w:sz="0" w:space="0" w:color="auto"/>
        <w:left w:val="none" w:sz="0" w:space="0" w:color="auto"/>
        <w:bottom w:val="none" w:sz="0" w:space="0" w:color="auto"/>
        <w:right w:val="none" w:sz="0" w:space="0" w:color="auto"/>
      </w:divBdr>
      <w:divsChild>
        <w:div w:id="585263972">
          <w:marLeft w:val="0"/>
          <w:marRight w:val="0"/>
          <w:marTop w:val="0"/>
          <w:marBottom w:val="0"/>
          <w:divBdr>
            <w:top w:val="none" w:sz="0" w:space="0" w:color="auto"/>
            <w:left w:val="none" w:sz="0" w:space="0" w:color="auto"/>
            <w:bottom w:val="none" w:sz="0" w:space="0" w:color="auto"/>
            <w:right w:val="none" w:sz="0" w:space="0" w:color="auto"/>
          </w:divBdr>
        </w:div>
      </w:divsChild>
    </w:div>
    <w:div w:id="370613128">
      <w:bodyDiv w:val="1"/>
      <w:marLeft w:val="0"/>
      <w:marRight w:val="0"/>
      <w:marTop w:val="0"/>
      <w:marBottom w:val="0"/>
      <w:divBdr>
        <w:top w:val="none" w:sz="0" w:space="0" w:color="auto"/>
        <w:left w:val="none" w:sz="0" w:space="0" w:color="auto"/>
        <w:bottom w:val="none" w:sz="0" w:space="0" w:color="auto"/>
        <w:right w:val="none" w:sz="0" w:space="0" w:color="auto"/>
      </w:divBdr>
    </w:div>
    <w:div w:id="379482191">
      <w:bodyDiv w:val="1"/>
      <w:marLeft w:val="0"/>
      <w:marRight w:val="0"/>
      <w:marTop w:val="0"/>
      <w:marBottom w:val="0"/>
      <w:divBdr>
        <w:top w:val="none" w:sz="0" w:space="0" w:color="auto"/>
        <w:left w:val="none" w:sz="0" w:space="0" w:color="auto"/>
        <w:bottom w:val="none" w:sz="0" w:space="0" w:color="auto"/>
        <w:right w:val="none" w:sz="0" w:space="0" w:color="auto"/>
      </w:divBdr>
    </w:div>
    <w:div w:id="385761517">
      <w:bodyDiv w:val="1"/>
      <w:marLeft w:val="0"/>
      <w:marRight w:val="0"/>
      <w:marTop w:val="0"/>
      <w:marBottom w:val="0"/>
      <w:divBdr>
        <w:top w:val="none" w:sz="0" w:space="0" w:color="auto"/>
        <w:left w:val="none" w:sz="0" w:space="0" w:color="auto"/>
        <w:bottom w:val="none" w:sz="0" w:space="0" w:color="auto"/>
        <w:right w:val="none" w:sz="0" w:space="0" w:color="auto"/>
      </w:divBdr>
    </w:div>
    <w:div w:id="503282793">
      <w:bodyDiv w:val="1"/>
      <w:marLeft w:val="0"/>
      <w:marRight w:val="0"/>
      <w:marTop w:val="0"/>
      <w:marBottom w:val="0"/>
      <w:divBdr>
        <w:top w:val="none" w:sz="0" w:space="0" w:color="auto"/>
        <w:left w:val="none" w:sz="0" w:space="0" w:color="auto"/>
        <w:bottom w:val="none" w:sz="0" w:space="0" w:color="auto"/>
        <w:right w:val="none" w:sz="0" w:space="0" w:color="auto"/>
      </w:divBdr>
    </w:div>
    <w:div w:id="697658361">
      <w:bodyDiv w:val="1"/>
      <w:marLeft w:val="0"/>
      <w:marRight w:val="0"/>
      <w:marTop w:val="0"/>
      <w:marBottom w:val="0"/>
      <w:divBdr>
        <w:top w:val="none" w:sz="0" w:space="0" w:color="auto"/>
        <w:left w:val="none" w:sz="0" w:space="0" w:color="auto"/>
        <w:bottom w:val="none" w:sz="0" w:space="0" w:color="auto"/>
        <w:right w:val="none" w:sz="0" w:space="0" w:color="auto"/>
      </w:divBdr>
      <w:divsChild>
        <w:div w:id="560559587">
          <w:marLeft w:val="0"/>
          <w:marRight w:val="0"/>
          <w:marTop w:val="0"/>
          <w:marBottom w:val="0"/>
          <w:divBdr>
            <w:top w:val="none" w:sz="0" w:space="0" w:color="auto"/>
            <w:left w:val="none" w:sz="0" w:space="0" w:color="auto"/>
            <w:bottom w:val="none" w:sz="0" w:space="0" w:color="auto"/>
            <w:right w:val="none" w:sz="0" w:space="0" w:color="auto"/>
          </w:divBdr>
        </w:div>
      </w:divsChild>
    </w:div>
    <w:div w:id="807086527">
      <w:bodyDiv w:val="1"/>
      <w:marLeft w:val="0"/>
      <w:marRight w:val="0"/>
      <w:marTop w:val="0"/>
      <w:marBottom w:val="0"/>
      <w:divBdr>
        <w:top w:val="none" w:sz="0" w:space="0" w:color="auto"/>
        <w:left w:val="none" w:sz="0" w:space="0" w:color="auto"/>
        <w:bottom w:val="none" w:sz="0" w:space="0" w:color="auto"/>
        <w:right w:val="none" w:sz="0" w:space="0" w:color="auto"/>
      </w:divBdr>
    </w:div>
    <w:div w:id="826285836">
      <w:bodyDiv w:val="1"/>
      <w:marLeft w:val="0"/>
      <w:marRight w:val="0"/>
      <w:marTop w:val="0"/>
      <w:marBottom w:val="0"/>
      <w:divBdr>
        <w:top w:val="none" w:sz="0" w:space="0" w:color="auto"/>
        <w:left w:val="none" w:sz="0" w:space="0" w:color="auto"/>
        <w:bottom w:val="none" w:sz="0" w:space="0" w:color="auto"/>
        <w:right w:val="none" w:sz="0" w:space="0" w:color="auto"/>
      </w:divBdr>
    </w:div>
    <w:div w:id="854080516">
      <w:bodyDiv w:val="1"/>
      <w:marLeft w:val="0"/>
      <w:marRight w:val="0"/>
      <w:marTop w:val="0"/>
      <w:marBottom w:val="0"/>
      <w:divBdr>
        <w:top w:val="none" w:sz="0" w:space="0" w:color="auto"/>
        <w:left w:val="none" w:sz="0" w:space="0" w:color="auto"/>
        <w:bottom w:val="none" w:sz="0" w:space="0" w:color="auto"/>
        <w:right w:val="none" w:sz="0" w:space="0" w:color="auto"/>
      </w:divBdr>
    </w:div>
    <w:div w:id="870806429">
      <w:bodyDiv w:val="1"/>
      <w:marLeft w:val="0"/>
      <w:marRight w:val="0"/>
      <w:marTop w:val="0"/>
      <w:marBottom w:val="0"/>
      <w:divBdr>
        <w:top w:val="none" w:sz="0" w:space="0" w:color="auto"/>
        <w:left w:val="none" w:sz="0" w:space="0" w:color="auto"/>
        <w:bottom w:val="none" w:sz="0" w:space="0" w:color="auto"/>
        <w:right w:val="none" w:sz="0" w:space="0" w:color="auto"/>
      </w:divBdr>
    </w:div>
    <w:div w:id="873926101">
      <w:bodyDiv w:val="1"/>
      <w:marLeft w:val="0"/>
      <w:marRight w:val="0"/>
      <w:marTop w:val="0"/>
      <w:marBottom w:val="0"/>
      <w:divBdr>
        <w:top w:val="none" w:sz="0" w:space="0" w:color="auto"/>
        <w:left w:val="none" w:sz="0" w:space="0" w:color="auto"/>
        <w:bottom w:val="none" w:sz="0" w:space="0" w:color="auto"/>
        <w:right w:val="none" w:sz="0" w:space="0" w:color="auto"/>
      </w:divBdr>
    </w:div>
    <w:div w:id="908422354">
      <w:bodyDiv w:val="1"/>
      <w:marLeft w:val="0"/>
      <w:marRight w:val="0"/>
      <w:marTop w:val="0"/>
      <w:marBottom w:val="0"/>
      <w:divBdr>
        <w:top w:val="none" w:sz="0" w:space="0" w:color="auto"/>
        <w:left w:val="none" w:sz="0" w:space="0" w:color="auto"/>
        <w:bottom w:val="none" w:sz="0" w:space="0" w:color="auto"/>
        <w:right w:val="none" w:sz="0" w:space="0" w:color="auto"/>
      </w:divBdr>
      <w:divsChild>
        <w:div w:id="436800381">
          <w:marLeft w:val="0"/>
          <w:marRight w:val="0"/>
          <w:marTop w:val="0"/>
          <w:marBottom w:val="0"/>
          <w:divBdr>
            <w:top w:val="none" w:sz="0" w:space="0" w:color="auto"/>
            <w:left w:val="none" w:sz="0" w:space="0" w:color="auto"/>
            <w:bottom w:val="none" w:sz="0" w:space="0" w:color="auto"/>
            <w:right w:val="none" w:sz="0" w:space="0" w:color="auto"/>
          </w:divBdr>
        </w:div>
      </w:divsChild>
    </w:div>
    <w:div w:id="948586781">
      <w:bodyDiv w:val="1"/>
      <w:marLeft w:val="0"/>
      <w:marRight w:val="0"/>
      <w:marTop w:val="0"/>
      <w:marBottom w:val="0"/>
      <w:divBdr>
        <w:top w:val="none" w:sz="0" w:space="0" w:color="auto"/>
        <w:left w:val="none" w:sz="0" w:space="0" w:color="auto"/>
        <w:bottom w:val="none" w:sz="0" w:space="0" w:color="auto"/>
        <w:right w:val="none" w:sz="0" w:space="0" w:color="auto"/>
      </w:divBdr>
    </w:div>
    <w:div w:id="1048920923">
      <w:bodyDiv w:val="1"/>
      <w:marLeft w:val="0"/>
      <w:marRight w:val="0"/>
      <w:marTop w:val="0"/>
      <w:marBottom w:val="0"/>
      <w:divBdr>
        <w:top w:val="none" w:sz="0" w:space="0" w:color="auto"/>
        <w:left w:val="none" w:sz="0" w:space="0" w:color="auto"/>
        <w:bottom w:val="none" w:sz="0" w:space="0" w:color="auto"/>
        <w:right w:val="none" w:sz="0" w:space="0" w:color="auto"/>
      </w:divBdr>
    </w:div>
    <w:div w:id="1079911141">
      <w:bodyDiv w:val="1"/>
      <w:marLeft w:val="0"/>
      <w:marRight w:val="0"/>
      <w:marTop w:val="0"/>
      <w:marBottom w:val="0"/>
      <w:divBdr>
        <w:top w:val="none" w:sz="0" w:space="0" w:color="auto"/>
        <w:left w:val="none" w:sz="0" w:space="0" w:color="auto"/>
        <w:bottom w:val="none" w:sz="0" w:space="0" w:color="auto"/>
        <w:right w:val="none" w:sz="0" w:space="0" w:color="auto"/>
      </w:divBdr>
    </w:div>
    <w:div w:id="1095128411">
      <w:bodyDiv w:val="1"/>
      <w:marLeft w:val="0"/>
      <w:marRight w:val="0"/>
      <w:marTop w:val="0"/>
      <w:marBottom w:val="0"/>
      <w:divBdr>
        <w:top w:val="none" w:sz="0" w:space="0" w:color="auto"/>
        <w:left w:val="none" w:sz="0" w:space="0" w:color="auto"/>
        <w:bottom w:val="none" w:sz="0" w:space="0" w:color="auto"/>
        <w:right w:val="none" w:sz="0" w:space="0" w:color="auto"/>
      </w:divBdr>
    </w:div>
    <w:div w:id="1109353068">
      <w:bodyDiv w:val="1"/>
      <w:marLeft w:val="0"/>
      <w:marRight w:val="0"/>
      <w:marTop w:val="0"/>
      <w:marBottom w:val="0"/>
      <w:divBdr>
        <w:top w:val="none" w:sz="0" w:space="0" w:color="auto"/>
        <w:left w:val="none" w:sz="0" w:space="0" w:color="auto"/>
        <w:bottom w:val="none" w:sz="0" w:space="0" w:color="auto"/>
        <w:right w:val="none" w:sz="0" w:space="0" w:color="auto"/>
      </w:divBdr>
    </w:div>
    <w:div w:id="1148593511">
      <w:bodyDiv w:val="1"/>
      <w:marLeft w:val="0"/>
      <w:marRight w:val="0"/>
      <w:marTop w:val="0"/>
      <w:marBottom w:val="0"/>
      <w:divBdr>
        <w:top w:val="none" w:sz="0" w:space="0" w:color="auto"/>
        <w:left w:val="none" w:sz="0" w:space="0" w:color="auto"/>
        <w:bottom w:val="none" w:sz="0" w:space="0" w:color="auto"/>
        <w:right w:val="none" w:sz="0" w:space="0" w:color="auto"/>
      </w:divBdr>
      <w:divsChild>
        <w:div w:id="987513092">
          <w:marLeft w:val="0"/>
          <w:marRight w:val="0"/>
          <w:marTop w:val="0"/>
          <w:marBottom w:val="0"/>
          <w:divBdr>
            <w:top w:val="none" w:sz="0" w:space="0" w:color="auto"/>
            <w:left w:val="none" w:sz="0" w:space="0" w:color="auto"/>
            <w:bottom w:val="none" w:sz="0" w:space="0" w:color="auto"/>
            <w:right w:val="none" w:sz="0" w:space="0" w:color="auto"/>
          </w:divBdr>
        </w:div>
      </w:divsChild>
    </w:div>
    <w:div w:id="1207135456">
      <w:bodyDiv w:val="1"/>
      <w:marLeft w:val="0"/>
      <w:marRight w:val="0"/>
      <w:marTop w:val="0"/>
      <w:marBottom w:val="0"/>
      <w:divBdr>
        <w:top w:val="none" w:sz="0" w:space="0" w:color="auto"/>
        <w:left w:val="none" w:sz="0" w:space="0" w:color="auto"/>
        <w:bottom w:val="none" w:sz="0" w:space="0" w:color="auto"/>
        <w:right w:val="none" w:sz="0" w:space="0" w:color="auto"/>
      </w:divBdr>
    </w:div>
    <w:div w:id="1235508604">
      <w:bodyDiv w:val="1"/>
      <w:marLeft w:val="0"/>
      <w:marRight w:val="0"/>
      <w:marTop w:val="0"/>
      <w:marBottom w:val="0"/>
      <w:divBdr>
        <w:top w:val="none" w:sz="0" w:space="0" w:color="auto"/>
        <w:left w:val="none" w:sz="0" w:space="0" w:color="auto"/>
        <w:bottom w:val="none" w:sz="0" w:space="0" w:color="auto"/>
        <w:right w:val="none" w:sz="0" w:space="0" w:color="auto"/>
      </w:divBdr>
    </w:div>
    <w:div w:id="1247572642">
      <w:bodyDiv w:val="1"/>
      <w:marLeft w:val="0"/>
      <w:marRight w:val="0"/>
      <w:marTop w:val="0"/>
      <w:marBottom w:val="0"/>
      <w:divBdr>
        <w:top w:val="none" w:sz="0" w:space="0" w:color="auto"/>
        <w:left w:val="none" w:sz="0" w:space="0" w:color="auto"/>
        <w:bottom w:val="none" w:sz="0" w:space="0" w:color="auto"/>
        <w:right w:val="none" w:sz="0" w:space="0" w:color="auto"/>
      </w:divBdr>
    </w:div>
    <w:div w:id="1256983812">
      <w:bodyDiv w:val="1"/>
      <w:marLeft w:val="0"/>
      <w:marRight w:val="0"/>
      <w:marTop w:val="0"/>
      <w:marBottom w:val="0"/>
      <w:divBdr>
        <w:top w:val="none" w:sz="0" w:space="0" w:color="auto"/>
        <w:left w:val="none" w:sz="0" w:space="0" w:color="auto"/>
        <w:bottom w:val="none" w:sz="0" w:space="0" w:color="auto"/>
        <w:right w:val="none" w:sz="0" w:space="0" w:color="auto"/>
      </w:divBdr>
    </w:div>
    <w:div w:id="1269317372">
      <w:bodyDiv w:val="1"/>
      <w:marLeft w:val="0"/>
      <w:marRight w:val="0"/>
      <w:marTop w:val="0"/>
      <w:marBottom w:val="0"/>
      <w:divBdr>
        <w:top w:val="none" w:sz="0" w:space="0" w:color="auto"/>
        <w:left w:val="none" w:sz="0" w:space="0" w:color="auto"/>
        <w:bottom w:val="none" w:sz="0" w:space="0" w:color="auto"/>
        <w:right w:val="none" w:sz="0" w:space="0" w:color="auto"/>
      </w:divBdr>
    </w:div>
    <w:div w:id="1282565718">
      <w:bodyDiv w:val="1"/>
      <w:marLeft w:val="0"/>
      <w:marRight w:val="0"/>
      <w:marTop w:val="0"/>
      <w:marBottom w:val="0"/>
      <w:divBdr>
        <w:top w:val="none" w:sz="0" w:space="0" w:color="auto"/>
        <w:left w:val="none" w:sz="0" w:space="0" w:color="auto"/>
        <w:bottom w:val="none" w:sz="0" w:space="0" w:color="auto"/>
        <w:right w:val="none" w:sz="0" w:space="0" w:color="auto"/>
      </w:divBdr>
    </w:div>
    <w:div w:id="1299798645">
      <w:bodyDiv w:val="1"/>
      <w:marLeft w:val="0"/>
      <w:marRight w:val="0"/>
      <w:marTop w:val="0"/>
      <w:marBottom w:val="0"/>
      <w:divBdr>
        <w:top w:val="none" w:sz="0" w:space="0" w:color="auto"/>
        <w:left w:val="none" w:sz="0" w:space="0" w:color="auto"/>
        <w:bottom w:val="none" w:sz="0" w:space="0" w:color="auto"/>
        <w:right w:val="none" w:sz="0" w:space="0" w:color="auto"/>
      </w:divBdr>
    </w:div>
    <w:div w:id="1315256377">
      <w:bodyDiv w:val="1"/>
      <w:marLeft w:val="0"/>
      <w:marRight w:val="0"/>
      <w:marTop w:val="0"/>
      <w:marBottom w:val="0"/>
      <w:divBdr>
        <w:top w:val="none" w:sz="0" w:space="0" w:color="auto"/>
        <w:left w:val="none" w:sz="0" w:space="0" w:color="auto"/>
        <w:bottom w:val="none" w:sz="0" w:space="0" w:color="auto"/>
        <w:right w:val="none" w:sz="0" w:space="0" w:color="auto"/>
      </w:divBdr>
    </w:div>
    <w:div w:id="1447773423">
      <w:bodyDiv w:val="1"/>
      <w:marLeft w:val="0"/>
      <w:marRight w:val="0"/>
      <w:marTop w:val="0"/>
      <w:marBottom w:val="0"/>
      <w:divBdr>
        <w:top w:val="none" w:sz="0" w:space="0" w:color="auto"/>
        <w:left w:val="none" w:sz="0" w:space="0" w:color="auto"/>
        <w:bottom w:val="none" w:sz="0" w:space="0" w:color="auto"/>
        <w:right w:val="none" w:sz="0" w:space="0" w:color="auto"/>
      </w:divBdr>
    </w:div>
    <w:div w:id="1474718242">
      <w:bodyDiv w:val="1"/>
      <w:marLeft w:val="0"/>
      <w:marRight w:val="0"/>
      <w:marTop w:val="0"/>
      <w:marBottom w:val="0"/>
      <w:divBdr>
        <w:top w:val="none" w:sz="0" w:space="0" w:color="auto"/>
        <w:left w:val="none" w:sz="0" w:space="0" w:color="auto"/>
        <w:bottom w:val="none" w:sz="0" w:space="0" w:color="auto"/>
        <w:right w:val="none" w:sz="0" w:space="0" w:color="auto"/>
      </w:divBdr>
    </w:div>
    <w:div w:id="1528106243">
      <w:bodyDiv w:val="1"/>
      <w:marLeft w:val="0"/>
      <w:marRight w:val="0"/>
      <w:marTop w:val="0"/>
      <w:marBottom w:val="0"/>
      <w:divBdr>
        <w:top w:val="none" w:sz="0" w:space="0" w:color="auto"/>
        <w:left w:val="none" w:sz="0" w:space="0" w:color="auto"/>
        <w:bottom w:val="none" w:sz="0" w:space="0" w:color="auto"/>
        <w:right w:val="none" w:sz="0" w:space="0" w:color="auto"/>
      </w:divBdr>
    </w:div>
    <w:div w:id="1528565371">
      <w:bodyDiv w:val="1"/>
      <w:marLeft w:val="0"/>
      <w:marRight w:val="0"/>
      <w:marTop w:val="0"/>
      <w:marBottom w:val="0"/>
      <w:divBdr>
        <w:top w:val="none" w:sz="0" w:space="0" w:color="auto"/>
        <w:left w:val="none" w:sz="0" w:space="0" w:color="auto"/>
        <w:bottom w:val="none" w:sz="0" w:space="0" w:color="auto"/>
        <w:right w:val="none" w:sz="0" w:space="0" w:color="auto"/>
      </w:divBdr>
    </w:div>
    <w:div w:id="1599173178">
      <w:bodyDiv w:val="1"/>
      <w:marLeft w:val="0"/>
      <w:marRight w:val="0"/>
      <w:marTop w:val="0"/>
      <w:marBottom w:val="0"/>
      <w:divBdr>
        <w:top w:val="none" w:sz="0" w:space="0" w:color="auto"/>
        <w:left w:val="none" w:sz="0" w:space="0" w:color="auto"/>
        <w:bottom w:val="none" w:sz="0" w:space="0" w:color="auto"/>
        <w:right w:val="none" w:sz="0" w:space="0" w:color="auto"/>
      </w:divBdr>
    </w:div>
    <w:div w:id="1605727239">
      <w:bodyDiv w:val="1"/>
      <w:marLeft w:val="0"/>
      <w:marRight w:val="0"/>
      <w:marTop w:val="0"/>
      <w:marBottom w:val="0"/>
      <w:divBdr>
        <w:top w:val="none" w:sz="0" w:space="0" w:color="auto"/>
        <w:left w:val="none" w:sz="0" w:space="0" w:color="auto"/>
        <w:bottom w:val="none" w:sz="0" w:space="0" w:color="auto"/>
        <w:right w:val="none" w:sz="0" w:space="0" w:color="auto"/>
      </w:divBdr>
    </w:div>
    <w:div w:id="1737701230">
      <w:bodyDiv w:val="1"/>
      <w:marLeft w:val="0"/>
      <w:marRight w:val="0"/>
      <w:marTop w:val="0"/>
      <w:marBottom w:val="0"/>
      <w:divBdr>
        <w:top w:val="none" w:sz="0" w:space="0" w:color="auto"/>
        <w:left w:val="none" w:sz="0" w:space="0" w:color="auto"/>
        <w:bottom w:val="none" w:sz="0" w:space="0" w:color="auto"/>
        <w:right w:val="none" w:sz="0" w:space="0" w:color="auto"/>
      </w:divBdr>
    </w:div>
    <w:div w:id="1739134265">
      <w:bodyDiv w:val="1"/>
      <w:marLeft w:val="0"/>
      <w:marRight w:val="0"/>
      <w:marTop w:val="0"/>
      <w:marBottom w:val="0"/>
      <w:divBdr>
        <w:top w:val="none" w:sz="0" w:space="0" w:color="auto"/>
        <w:left w:val="none" w:sz="0" w:space="0" w:color="auto"/>
        <w:bottom w:val="none" w:sz="0" w:space="0" w:color="auto"/>
        <w:right w:val="none" w:sz="0" w:space="0" w:color="auto"/>
      </w:divBdr>
    </w:div>
    <w:div w:id="1782720604">
      <w:bodyDiv w:val="1"/>
      <w:marLeft w:val="0"/>
      <w:marRight w:val="0"/>
      <w:marTop w:val="0"/>
      <w:marBottom w:val="0"/>
      <w:divBdr>
        <w:top w:val="none" w:sz="0" w:space="0" w:color="auto"/>
        <w:left w:val="none" w:sz="0" w:space="0" w:color="auto"/>
        <w:bottom w:val="none" w:sz="0" w:space="0" w:color="auto"/>
        <w:right w:val="none" w:sz="0" w:space="0" w:color="auto"/>
      </w:divBdr>
    </w:div>
    <w:div w:id="1794441555">
      <w:bodyDiv w:val="1"/>
      <w:marLeft w:val="0"/>
      <w:marRight w:val="0"/>
      <w:marTop w:val="0"/>
      <w:marBottom w:val="0"/>
      <w:divBdr>
        <w:top w:val="none" w:sz="0" w:space="0" w:color="auto"/>
        <w:left w:val="none" w:sz="0" w:space="0" w:color="auto"/>
        <w:bottom w:val="none" w:sz="0" w:space="0" w:color="auto"/>
        <w:right w:val="none" w:sz="0" w:space="0" w:color="auto"/>
      </w:divBdr>
    </w:div>
    <w:div w:id="1915780109">
      <w:bodyDiv w:val="1"/>
      <w:marLeft w:val="0"/>
      <w:marRight w:val="0"/>
      <w:marTop w:val="0"/>
      <w:marBottom w:val="0"/>
      <w:divBdr>
        <w:top w:val="none" w:sz="0" w:space="0" w:color="auto"/>
        <w:left w:val="none" w:sz="0" w:space="0" w:color="auto"/>
        <w:bottom w:val="none" w:sz="0" w:space="0" w:color="auto"/>
        <w:right w:val="none" w:sz="0" w:space="0" w:color="auto"/>
      </w:divBdr>
      <w:divsChild>
        <w:div w:id="182935265">
          <w:marLeft w:val="0"/>
          <w:marRight w:val="0"/>
          <w:marTop w:val="0"/>
          <w:marBottom w:val="0"/>
          <w:divBdr>
            <w:top w:val="none" w:sz="0" w:space="0" w:color="auto"/>
            <w:left w:val="none" w:sz="0" w:space="0" w:color="auto"/>
            <w:bottom w:val="none" w:sz="0" w:space="0" w:color="auto"/>
            <w:right w:val="none" w:sz="0" w:space="0" w:color="auto"/>
          </w:divBdr>
        </w:div>
      </w:divsChild>
    </w:div>
    <w:div w:id="1945261741">
      <w:bodyDiv w:val="1"/>
      <w:marLeft w:val="0"/>
      <w:marRight w:val="0"/>
      <w:marTop w:val="0"/>
      <w:marBottom w:val="0"/>
      <w:divBdr>
        <w:top w:val="none" w:sz="0" w:space="0" w:color="auto"/>
        <w:left w:val="none" w:sz="0" w:space="0" w:color="auto"/>
        <w:bottom w:val="none" w:sz="0" w:space="0" w:color="auto"/>
        <w:right w:val="none" w:sz="0" w:space="0" w:color="auto"/>
      </w:divBdr>
    </w:div>
    <w:div w:id="1956062881">
      <w:bodyDiv w:val="1"/>
      <w:marLeft w:val="0"/>
      <w:marRight w:val="0"/>
      <w:marTop w:val="0"/>
      <w:marBottom w:val="0"/>
      <w:divBdr>
        <w:top w:val="none" w:sz="0" w:space="0" w:color="auto"/>
        <w:left w:val="none" w:sz="0" w:space="0" w:color="auto"/>
        <w:bottom w:val="none" w:sz="0" w:space="0" w:color="auto"/>
        <w:right w:val="none" w:sz="0" w:space="0" w:color="auto"/>
      </w:divBdr>
      <w:divsChild>
        <w:div w:id="1206142323">
          <w:marLeft w:val="0"/>
          <w:marRight w:val="0"/>
          <w:marTop w:val="0"/>
          <w:marBottom w:val="0"/>
          <w:divBdr>
            <w:top w:val="none" w:sz="0" w:space="0" w:color="auto"/>
            <w:left w:val="none" w:sz="0" w:space="0" w:color="auto"/>
            <w:bottom w:val="none" w:sz="0" w:space="0" w:color="auto"/>
            <w:right w:val="none" w:sz="0" w:space="0" w:color="auto"/>
          </w:divBdr>
        </w:div>
      </w:divsChild>
    </w:div>
    <w:div w:id="1958290553">
      <w:bodyDiv w:val="1"/>
      <w:marLeft w:val="0"/>
      <w:marRight w:val="0"/>
      <w:marTop w:val="0"/>
      <w:marBottom w:val="0"/>
      <w:divBdr>
        <w:top w:val="none" w:sz="0" w:space="0" w:color="auto"/>
        <w:left w:val="none" w:sz="0" w:space="0" w:color="auto"/>
        <w:bottom w:val="none" w:sz="0" w:space="0" w:color="auto"/>
        <w:right w:val="none" w:sz="0" w:space="0" w:color="auto"/>
      </w:divBdr>
      <w:divsChild>
        <w:div w:id="27028797">
          <w:marLeft w:val="0"/>
          <w:marRight w:val="0"/>
          <w:marTop w:val="0"/>
          <w:marBottom w:val="0"/>
          <w:divBdr>
            <w:top w:val="none" w:sz="0" w:space="0" w:color="auto"/>
            <w:left w:val="none" w:sz="0" w:space="0" w:color="auto"/>
            <w:bottom w:val="none" w:sz="0" w:space="0" w:color="auto"/>
            <w:right w:val="none" w:sz="0" w:space="0" w:color="auto"/>
          </w:divBdr>
        </w:div>
      </w:divsChild>
    </w:div>
    <w:div w:id="1994605975">
      <w:bodyDiv w:val="1"/>
      <w:marLeft w:val="0"/>
      <w:marRight w:val="0"/>
      <w:marTop w:val="0"/>
      <w:marBottom w:val="0"/>
      <w:divBdr>
        <w:top w:val="none" w:sz="0" w:space="0" w:color="auto"/>
        <w:left w:val="none" w:sz="0" w:space="0" w:color="auto"/>
        <w:bottom w:val="none" w:sz="0" w:space="0" w:color="auto"/>
        <w:right w:val="none" w:sz="0" w:space="0" w:color="auto"/>
      </w:divBdr>
    </w:div>
    <w:div w:id="2003043283">
      <w:bodyDiv w:val="1"/>
      <w:marLeft w:val="0"/>
      <w:marRight w:val="0"/>
      <w:marTop w:val="0"/>
      <w:marBottom w:val="0"/>
      <w:divBdr>
        <w:top w:val="none" w:sz="0" w:space="0" w:color="auto"/>
        <w:left w:val="none" w:sz="0" w:space="0" w:color="auto"/>
        <w:bottom w:val="none" w:sz="0" w:space="0" w:color="auto"/>
        <w:right w:val="none" w:sz="0" w:space="0" w:color="auto"/>
      </w:divBdr>
    </w:div>
    <w:div w:id="2045203948">
      <w:bodyDiv w:val="1"/>
      <w:marLeft w:val="0"/>
      <w:marRight w:val="0"/>
      <w:marTop w:val="0"/>
      <w:marBottom w:val="0"/>
      <w:divBdr>
        <w:top w:val="none" w:sz="0" w:space="0" w:color="auto"/>
        <w:left w:val="none" w:sz="0" w:space="0" w:color="auto"/>
        <w:bottom w:val="none" w:sz="0" w:space="0" w:color="auto"/>
        <w:right w:val="none" w:sz="0" w:space="0" w:color="auto"/>
      </w:divBdr>
    </w:div>
    <w:div w:id="211644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cid:73294b02-32f5-4c19-9d3c-2f71d08047e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hyperlink" Target="https://www.ncetm.org.uk/files/109551480/ncetm_primarymasterypd_teaching_sequ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1698</Words>
  <Characters>9682</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 Burford CE Primary</cp:lastModifiedBy>
  <cp:revision>2</cp:revision>
  <cp:lastPrinted>2019-10-18T08:34:00Z</cp:lastPrinted>
  <dcterms:created xsi:type="dcterms:W3CDTF">2021-10-05T13:47:00Z</dcterms:created>
  <dcterms:modified xsi:type="dcterms:W3CDTF">2021-10-05T13:47:00Z</dcterms:modified>
</cp:coreProperties>
</file>